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left"/>
        <w:rPr/>
      </w:pPr>
      <w:r>
        <w:rPr>
          <w:b/>
          <w:bCs/>
          <w:color w:val="1F4E79"/>
          <w:sz w:val="40"/>
          <w:szCs w:val="40"/>
        </w:rPr>
        <w:t>Expert Offloading with a Cache Simulator</w:t>
      </w:r>
    </w:p>
    <w:p>
      <w:pPr>
        <w:pStyle w:val="Normal"/>
        <w:pBdr>
          <w:bottom w:val="single" w:sz="8" w:space="4" w:color="1F4E79"/>
        </w:pBdr>
        <w:spacing w:before="0" w:after="200"/>
        <w:rPr/>
      </w:pPr>
      <w:r>
        <w:rPr>
          <w:color w:val="555555"/>
          <w:sz w:val="24"/>
          <w:szCs w:val="24"/>
        </w:rPr>
        <w:t>Mixture-of-Experts (MoE) | Project Plan</w:t>
      </w:r>
    </w:p>
    <w:p>
      <w:pPr>
        <w:pStyle w:val="Heading1"/>
        <w:rPr/>
      </w:pPr>
      <w:r>
        <w:rPr/>
        <w:t>1. Project Idea</w:t>
      </w:r>
    </w:p>
    <w:p>
      <w:pPr>
        <w:pStyle w:val="Normal"/>
        <w:spacing w:before="0" w:after="120"/>
        <w:rPr/>
      </w:pPr>
      <w:r>
        <w:rPr/>
        <w:t>In a Mixture-of-Experts model, each token activates only a few experts. Large MoE models do not fit on a small GPU, so hot (frequently used) experts can be kept in GPU memory while the rest stay on the CPU. Every time a needed expert is missing from the GPU, it must be copied over, which is slow.</w:t>
      </w:r>
    </w:p>
    <w:p>
      <w:pPr>
        <w:pStyle w:val="Normal"/>
        <w:spacing w:before="0" w:after="120"/>
        <w:rPr/>
      </w:pPr>
      <w:r>
        <w:rPr/>
        <w:t>We will log which experts a real MoE model uses for each token, then simulate different caching strategies on these logs to find which one reduces expensive CPU-to-GPU transfers the most.</w:t>
      </w:r>
    </w:p>
    <w:p>
      <w:pPr>
        <w:pStyle w:val="Heading1"/>
        <w:rPr/>
      </w:pPr>
      <w:r>
        <w:rPr/>
        <w:t>2. Goals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/>
        <w:t>Collect real expert-usage traces from an open MoE model on two kinds of text.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Build a cache simulator that holds only a fraction of all experts on the GPU.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Compare policies: Random, LRU, Frequency-based (LFU), a simple next-expert Predictor, and an Oracle (Belady optimal) as an upper bound.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Test whether giving different layers different cache sizes beats a uniform split.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Report cache hit rate and estimated transfer cost for each policy.</w:t>
      </w:r>
    </w:p>
    <w:p>
      <w:pPr>
        <w:pStyle w:val="Heading1"/>
        <w:rPr/>
      </w:pPr>
      <w:r>
        <w:rPr/>
        <w:t>3. Overview of the Steps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99"/>
        <w:gridCol w:w="4401"/>
        <w:gridCol w:w="3726"/>
      </w:tblGrid>
      <w:tr>
        <w:trPr>
          <w:tblHeader w:val="true"/>
        </w:trPr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What we do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color="auto"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21"/>
                <w:szCs w:val="21"/>
              </w:rPr>
              <w:t>Output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1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Choose the model and datasets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Selected model and 2 text datasets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2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Collect expert-usage traces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Trace files for both datasets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3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Calibrate the transfer cost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Measured per-expert copy time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4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Analyse the traces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Usage and reuse plots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5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Build the cache simulator and basic policies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Working simulator with Random, LRU, LFU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6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Add the Oracle and a simple predictor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Predictor-based policy and upper bound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7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Per-layer cache budgets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Layer-aware allocation vs uniform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8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Run the full experiments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Results for all policies and cache sizes</w:t>
            </w:r>
          </w:p>
        </w:tc>
      </w:tr>
      <w:tr>
        <w:trPr/>
        <w:tc>
          <w:tcPr>
            <w:tcW w:w="89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9</w:t>
            </w:r>
          </w:p>
        </w:tc>
        <w:tc>
          <w:tcPr>
            <w:tcW w:w="440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Analyse results and write up</w:t>
            </w:r>
          </w:p>
        </w:tc>
        <w:tc>
          <w:tcPr>
            <w:tcW w:w="37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sz w:val="21"/>
                <w:szCs w:val="21"/>
              </w:rPr>
              <w:t>Final report and slides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1"/>
        <w:rPr/>
      </w:pPr>
      <w:r>
        <w:rPr/>
        <w:t>4. Step-by-Step Plan</w:t>
      </w:r>
    </w:p>
    <w:p>
      <w:pPr>
        <w:pStyle w:val="Heading2"/>
        <w:rPr/>
      </w:pPr>
      <w:r>
        <w:rPr/>
        <w:t>Step 1: Choose the Model and Datasets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Model:</w:t>
      </w:r>
      <w:r>
        <w:rPr/>
        <w:t xml:space="preserve"> Use a small open MoE model such as OLMoE-1B-7B (64 experts per layer, 8 chosen per token). Test on a few sentences and confirm we can read the router output at every MoE layer.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Datasets:</w:t>
      </w:r>
      <w:r>
        <w:rPr/>
        <w:t xml:space="preserve"> Use 2 contrasting text types: general text (e.g., WikiText) and code. A few hundred thousand tokens per dataset is enough for reliable statistics.</w:t>
      </w:r>
    </w:p>
    <w:p>
      <w:pPr>
        <w:pStyle w:val="Heading2"/>
        <w:rPr/>
      </w:pPr>
      <w:r>
        <w:rPr/>
        <w:t>Step 2: Collect Expert-Usage Traces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Trace logger:</w:t>
      </w:r>
      <w:r>
        <w:rPr/>
        <w:t xml:space="preserve"> Attach hooks to each MoE layer to save the selected expert IDs for every token (token position, layer, expert IDs). Save compactly as NumPy arrays.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Run collection:</w:t>
      </w:r>
      <w:r>
        <w:rPr/>
        <w:t xml:space="preserve"> Run a small test first, then the full collection in batches, saving after each batch. This is the only step that needs heavy GPU time; everything after it is cheap.</w:t>
      </w:r>
    </w:p>
    <w:p>
      <w:pPr>
        <w:pStyle w:val="Normal"/>
        <w:spacing w:before="0" w:after="120"/>
        <w:rPr>
          <w:i/>
          <w:i/>
          <w:iCs/>
        </w:rPr>
      </w:pPr>
      <w:r>
        <w:rPr>
          <w:i/>
          <w:iCs/>
        </w:rPr>
        <w:t>Output: saved trace files for both datasets.</w:t>
      </w:r>
    </w:p>
    <w:p>
      <w:pPr>
        <w:pStyle w:val="Heading2"/>
        <w:rPr/>
      </w:pPr>
      <w:r>
        <w:rPr/>
        <w:t>Step 3: Calibrate the Transfer Cost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Measure the real time to copy an expert-sized tensor from CPU to GPU on a local machine.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Use this measured value in the cost formula so the estimate is realistic rather than purely assumed.</w:t>
      </w:r>
    </w:p>
    <w:p>
      <w:pPr>
        <w:pStyle w:val="Normal"/>
        <w:spacing w:before="0" w:after="120"/>
        <w:rPr>
          <w:i/>
          <w:i/>
          <w:iCs/>
        </w:rPr>
      </w:pPr>
      <w:r>
        <w:rPr>
          <w:i/>
          <w:iCs/>
        </w:rPr>
        <w:t>Output: measured transfer time per expert.</w:t>
      </w:r>
    </w:p>
    <w:p>
      <w:pPr>
        <w:pStyle w:val="Heading2"/>
        <w:rPr/>
      </w:pPr>
      <w:r>
        <w:rPr/>
        <w:t>Step 4: Analyse the Traces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Plot how often each expert is used (hot vs cold experts).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Check how often consecutive tokens reuse the same expert.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Compare patterns across layers and datasets. This tells us whether caching can help at all.</w:t>
      </w:r>
    </w:p>
    <w:p>
      <w:pPr>
        <w:pStyle w:val="Normal"/>
        <w:spacing w:before="0" w:after="120"/>
        <w:rPr>
          <w:i/>
          <w:i/>
          <w:iCs/>
        </w:rPr>
      </w:pPr>
      <w:r>
        <w:rPr>
          <w:i/>
          <w:iCs/>
        </w:rPr>
        <w:t>Output: usage and reuse plots.</w:t>
      </w:r>
    </w:p>
    <w:p>
      <w:pPr>
        <w:pStyle w:val="Heading2"/>
        <w:rPr/>
      </w:pPr>
      <w:r>
        <w:rPr/>
        <w:t>Step 5: Build the Cache Simulator and Basic Policies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Simulator:</w:t>
      </w:r>
      <w:r>
        <w:rPr/>
        <w:t xml:space="preserve"> Fixed number of cache slots K (e.g., 10%, 25%, 50% of experts). For every request: present in cache = hit; absent = miss, load from CPU and evict another expert.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Policies:</w:t>
      </w:r>
      <w:r>
        <w:rPr/>
        <w:t xml:space="preserve"> Random eviction, LRU (least recently used), and LFU (least frequently used). Check correctness on small hand-made examples.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Metrics:</w:t>
      </w:r>
      <w:r>
        <w:rPr/>
        <w:t xml:space="preserve"> Hit rate, number of misses, and estimated transfer cost = misses x expert size / transfer bandwidth.</w:t>
      </w:r>
    </w:p>
    <w:p>
      <w:pPr>
        <w:pStyle w:val="Normal"/>
        <w:spacing w:before="0" w:after="120"/>
        <w:rPr>
          <w:i/>
          <w:i/>
          <w:iCs/>
        </w:rPr>
      </w:pPr>
      <w:r>
        <w:rPr>
          <w:i/>
          <w:iCs/>
        </w:rPr>
        <w:t>Output: working simulator giving hit rate and cost for Random, LRU, and LFU.</w:t>
      </w:r>
    </w:p>
    <w:p>
      <w:pPr>
        <w:pStyle w:val="Heading2"/>
        <w:rPr/>
      </w:pPr>
      <w:r>
        <w:rPr/>
        <w:t>Step 6: Add the Oracle and a Simple Predictor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Oracle:</w:t>
      </w:r>
      <w:r>
        <w:rPr/>
        <w:t xml:space="preserve"> Belady's optimal policy (evict the expert whose next use is farthest in the future). It shows the best possible hit rate.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Predictor:</w:t>
      </w:r>
      <w:r>
        <w:rPr/>
        <w:t xml:space="preserve"> Predict the next token's experts from recent history using frequency or Markov (n-gram) counts, and prefetch them into the cache. Train on one part of the trace and test on unseen data.</w:t>
      </w:r>
    </w:p>
    <w:p>
      <w:pPr>
        <w:pStyle w:val="Normal"/>
        <w:spacing w:before="0" w:after="120"/>
        <w:rPr>
          <w:i/>
          <w:i/>
          <w:iCs/>
        </w:rPr>
      </w:pPr>
      <w:r>
        <w:rPr>
          <w:i/>
          <w:iCs/>
        </w:rPr>
        <w:t>Output: predictor-based policy and an upper-bound reference.</w:t>
      </w:r>
    </w:p>
    <w:p>
      <w:pPr>
        <w:pStyle w:val="Heading2"/>
        <w:rPr/>
      </w:pPr>
      <w:r>
        <w:rPr/>
        <w:t>Step 7: Per-Layer Cache Budgets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Question:</w:t>
      </w:r>
      <w:r>
        <w:rPr/>
        <w:t xml:space="preserve"> Layers may not need equal cache space. In some, a few experts handle most tokens (a small cache suffices); in others, usage is spread out (more slots needed).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1. Measure:</w:t>
      </w:r>
      <w:r>
        <w:rPr/>
        <w:t xml:space="preserve"> Using the first part of the trace, find each layer's hit rate under a uniform split (equal slots per layer).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2. Reallocate:</w:t>
      </w:r>
      <w:r>
        <w:rPr/>
        <w:t xml:space="preserve"> Keep the total slots fixed, but split them in proportion to each layer's miss rate.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3. Compare:</w:t>
      </w:r>
      <w:r>
        <w:rPr/>
        <w:t xml:space="preserve"> On the remaining unseen part of the trace, run the same policy (e.g., LRU) with the uniform and reallocated splits, and compare hit rate and transfer cost.</w:t>
      </w:r>
    </w:p>
    <w:p>
      <w:pPr>
        <w:pStyle w:val="Normal"/>
        <w:spacing w:before="0" w:after="120"/>
        <w:rPr>
          <w:i/>
          <w:i/>
          <w:iCs/>
        </w:rPr>
      </w:pPr>
      <w:r>
        <w:rPr>
          <w:i/>
          <w:iCs/>
        </w:rPr>
        <w:t>Output: per-layer slot allocation and a uniform vs reallocated comparison. No extra GPU time is needed. If there is no gain, we report that layers behave similarly.</w:t>
      </w:r>
    </w:p>
    <w:p>
      <w:pPr>
        <w:pStyle w:val="Heading2"/>
        <w:rPr/>
      </w:pPr>
      <w:r>
        <w:rPr/>
        <w:t>Step 8: Run the Full Experiments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Run all policies across the main cache sizes and both datasets.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Repeat runs involving randomness and report averages.</w:t>
      </w:r>
    </w:p>
    <w:p>
      <w:pPr>
        <w:pStyle w:val="Normal"/>
        <w:spacing w:before="0" w:after="120"/>
        <w:rPr>
          <w:i/>
          <w:i/>
          <w:iCs/>
        </w:rPr>
      </w:pPr>
      <w:r>
        <w:rPr>
          <w:i/>
          <w:iCs/>
        </w:rPr>
        <w:t>Output: complete results table.</w:t>
      </w:r>
    </w:p>
    <w:p>
      <w:pPr>
        <w:pStyle w:val="Heading2"/>
        <w:rPr/>
      </w:pPr>
      <w:r>
        <w:rPr/>
        <w:t>Step 9: Analyse Results and Write Up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Plots:</w:t>
      </w:r>
      <w:r>
        <w:rPr/>
        <w:t xml:space="preserve"> Hit rate vs cache size, transfer cost per policy, and per-layer results.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Key questions:</w:t>
      </w:r>
      <w:r>
        <w:rPr/>
        <w:t xml:space="preserve"> Which policy wins and when? How close is each to the Oracle? Is the predictor worth it? Does the per-layer budget beat the uniform one, and by how much? Do results depend on the dataset?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Report:</w:t>
      </w:r>
      <w:r>
        <w:rPr/>
        <w:t xml:space="preserve"> Write the report and prepare a short presentation. State the limitation clearly: latency is estimated from a formula using a measured copy time, not measured end to end.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Clean the code, add a README, and keep the trace files so results can be reproduced.</w:t>
      </w:r>
    </w:p>
    <w:p>
      <w:pPr>
        <w:pStyle w:val="Normal"/>
        <w:spacing w:before="0" w:after="120"/>
        <w:rPr>
          <w:i/>
          <w:i/>
          <w:iCs/>
        </w:rPr>
      </w:pPr>
      <w:r>
        <w:rPr>
          <w:i/>
          <w:iCs/>
        </w:rPr>
        <w:t>Output: final report, slides, and reproducible code.</w:t>
      </w:r>
    </w:p>
    <w:p>
      <w:pPr>
        <w:pStyle w:val="Heading1"/>
        <w:rPr/>
      </w:pPr>
      <w:r>
        <w:rPr/>
        <w:t>6. Final Outputs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Expert-usage trace files and per-layer analysis plots.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Cache simulator code with all policies, including per-layer budgets.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Results comparing hit rate and estimated transfer cost across policies.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/>
        <w:t>Final report and presentation.</w:t>
      </w:r>
    </w:p>
    <w:sectPr>
      <w:type w:val="nextPage"/>
      <w:pgSz w:w="11906" w:h="16838"/>
      <w:pgMar w:left="1440" w:right="1440" w:gutter="0" w:header="0" w:top="1300" w:footer="0" w:bottom="13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Calibri" w:hAnsi="Calibri" w:eastAsia="Calibri" w:cs="Calibri"/>
      <w:b/>
      <w:bCs/>
      <w:color w:val="2E75B6"/>
      <w:sz w:val="25"/>
      <w:szCs w:val="25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1003</Words>
  <Characters>4879</Characters>
  <CharactersWithSpaces>5760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2026-10-04T19:33:14Z</dcterms:created>
  <dc:creator>Un-named</dc:creator>
  <dc:description/>
  <dc:language>en-US</dc:language>
  <cp:lastModifiedBy/>
  <dcterms:modified xsi:type="dcterms:W3CDTF">2026-10-05T01:04:30Z</dcterms:modified>
  <cp:revision>2</cp:revision>
  <dc:subject/>
  <dc:title/>
</cp:coreProperties>
</file>