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0095B" w14:textId="77777777" w:rsidR="00971F3B" w:rsidRPr="00971F3B" w:rsidRDefault="00971F3B" w:rsidP="00971F3B">
      <w:pPr>
        <w:pStyle w:val="Heading1"/>
        <w:spacing w:line="360" w:lineRule="auto"/>
        <w:rPr>
          <w:sz w:val="44"/>
          <w:szCs w:val="44"/>
        </w:rPr>
      </w:pPr>
      <w:r w:rsidRPr="00971F3B">
        <w:rPr>
          <w:sz w:val="44"/>
          <w:szCs w:val="44"/>
        </w:rPr>
        <w:t>Title</w:t>
      </w:r>
    </w:p>
    <w:p w14:paraId="3673DC93" w14:textId="77777777" w:rsidR="00971F3B" w:rsidRPr="00971F3B" w:rsidRDefault="00971F3B" w:rsidP="00971F3B">
      <w:pPr>
        <w:pStyle w:val="Heading1"/>
        <w:spacing w:line="360" w:lineRule="auto"/>
      </w:pPr>
      <w:r w:rsidRPr="00971F3B">
        <w:t>Innovative Teaching Strategies in Higher Education: A Comprehensive Review</w:t>
      </w:r>
    </w:p>
    <w:p w14:paraId="15E1B830"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pict w14:anchorId="7388D710">
          <v:rect id="_x0000_i1144" style="width:0;height:1.5pt" o:hralign="center" o:hrstd="t" o:hr="t" fillcolor="#a0a0a0" stroked="f"/>
        </w:pict>
      </w:r>
    </w:p>
    <w:p w14:paraId="0F63D98A" w14:textId="67640040" w:rsidR="00971F3B" w:rsidRPr="00971F3B" w:rsidRDefault="00971F3B" w:rsidP="00971F3B">
      <w:pPr>
        <w:spacing w:line="360" w:lineRule="auto"/>
        <w:rPr>
          <w:rFonts w:asciiTheme="majorHAnsi" w:hAnsiTheme="majorHAnsi"/>
          <w:sz w:val="24"/>
          <w:szCs w:val="24"/>
        </w:rPr>
      </w:pPr>
      <w:r w:rsidRPr="00971F3B">
        <w:rPr>
          <w:rStyle w:val="Heading1Char"/>
        </w:rPr>
        <w:t>Abstract</w:t>
      </w:r>
      <w:r w:rsidRPr="00971F3B">
        <w:rPr>
          <w:rFonts w:asciiTheme="majorHAnsi" w:hAnsiTheme="majorHAnsi"/>
          <w:sz w:val="24"/>
          <w:szCs w:val="24"/>
        </w:rPr>
        <w:t xml:space="preserve"> </w:t>
      </w:r>
    </w:p>
    <w:p w14:paraId="049D3D48" w14:textId="1D8F5B6B" w:rsid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In recent years, the landscape of higher education has seen a transformative shift towards innovative teaching strategies that aim to enhance student engagement and improve learning outcomes. This paper provides a comprehensive review of these innovative methods, focusing on their implementation, effectiveness, and implications for educators and students. Key strategies discussed include flipped classrooms, experiential learning, and collaborative approaches, all of which foster active learning environments and encourage deeper understanding of the material. The review also highlights the challenges of integrating these methods into traditional curricula, including the need for professional development and institutional support. The findings suggest that while these innovative approaches present challenges, they hold significant potential to revolutionize higher education by better preparing students for the complexities of the modern world. The paper concludes with recommendations for educators and institutions looking to adopt these methods, emphasizing the importance of adaptability and continuous improvement in teaching practices.</w:t>
      </w:r>
    </w:p>
    <w:p w14:paraId="2AA87610" w14:textId="77777777" w:rsidR="00971F3B" w:rsidRDefault="00971F3B" w:rsidP="00971F3B">
      <w:pPr>
        <w:spacing w:line="360" w:lineRule="auto"/>
        <w:rPr>
          <w:rFonts w:asciiTheme="majorHAnsi" w:hAnsiTheme="majorHAnsi"/>
          <w:sz w:val="24"/>
          <w:szCs w:val="24"/>
        </w:rPr>
      </w:pPr>
    </w:p>
    <w:p w14:paraId="19F0C6E7" w14:textId="77777777" w:rsidR="00971F3B" w:rsidRDefault="00971F3B" w:rsidP="00971F3B">
      <w:pPr>
        <w:spacing w:line="360" w:lineRule="auto"/>
        <w:rPr>
          <w:rFonts w:asciiTheme="majorHAnsi" w:hAnsiTheme="majorHAnsi"/>
          <w:sz w:val="24"/>
          <w:szCs w:val="24"/>
        </w:rPr>
      </w:pPr>
    </w:p>
    <w:p w14:paraId="5F09CF24" w14:textId="3E6264B1" w:rsid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pict w14:anchorId="1550232E">
          <v:rect id="_x0000_i1173" style="width:0;height:1.5pt" o:hralign="center" o:hrstd="t" o:hr="t" fillcolor="#a0a0a0" stroked="f"/>
        </w:pict>
      </w:r>
    </w:p>
    <w:p w14:paraId="71A13773" w14:textId="77777777" w:rsidR="00971F3B" w:rsidRPr="00971F3B" w:rsidRDefault="00971F3B" w:rsidP="00971F3B">
      <w:pPr>
        <w:spacing w:line="360" w:lineRule="auto"/>
        <w:rPr>
          <w:rFonts w:asciiTheme="majorHAnsi" w:hAnsiTheme="majorHAnsi"/>
          <w:sz w:val="24"/>
          <w:szCs w:val="24"/>
        </w:rPr>
      </w:pPr>
    </w:p>
    <w:p w14:paraId="1F44A4D6" w14:textId="2FE4FAE9" w:rsidR="00971F3B" w:rsidRPr="00971F3B" w:rsidRDefault="00971F3B" w:rsidP="00971F3B">
      <w:pPr>
        <w:spacing w:line="360" w:lineRule="auto"/>
        <w:rPr>
          <w:rFonts w:asciiTheme="majorHAnsi" w:hAnsiTheme="majorHAnsi"/>
          <w:sz w:val="24"/>
          <w:szCs w:val="24"/>
        </w:rPr>
      </w:pPr>
    </w:p>
    <w:p w14:paraId="277469A1" w14:textId="1A03B2F7" w:rsidR="00971F3B" w:rsidRDefault="00971F3B" w:rsidP="00971F3B">
      <w:pPr>
        <w:pStyle w:val="Heading1"/>
        <w:spacing w:line="360" w:lineRule="auto"/>
      </w:pPr>
      <w:r w:rsidRPr="00971F3B">
        <w:t xml:space="preserve">Introduction </w:t>
      </w:r>
    </w:p>
    <w:p w14:paraId="03901BD3" w14:textId="77777777" w:rsidR="00971F3B" w:rsidRPr="00971F3B" w:rsidRDefault="00971F3B" w:rsidP="00971F3B">
      <w:pPr>
        <w:spacing w:line="360" w:lineRule="auto"/>
      </w:pPr>
    </w:p>
    <w:p w14:paraId="38050EB2" w14:textId="77777777" w:rsid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The evolving demands of the modern workforce and the rapid pace of technological advancement have necessitated a rethinking of traditional educational practices. In higher education, there is a growing recognition that conventional lecture-based teaching methods may no longer suffice in preparing students for the challenges they will face in their careers. As a result, educators are increasingly exploring innovative teaching strategies that promote active learning, critical thinking, and the application of knowledge in real-world contexts.</w:t>
      </w:r>
    </w:p>
    <w:p w14:paraId="63016572" w14:textId="77777777" w:rsidR="00971F3B" w:rsidRDefault="00971F3B" w:rsidP="00971F3B">
      <w:pPr>
        <w:spacing w:line="360" w:lineRule="auto"/>
        <w:rPr>
          <w:rFonts w:asciiTheme="majorHAnsi" w:hAnsiTheme="majorHAnsi"/>
          <w:sz w:val="24"/>
          <w:szCs w:val="24"/>
        </w:rPr>
      </w:pPr>
    </w:p>
    <w:p w14:paraId="04E311BF" w14:textId="77777777" w:rsidR="00971F3B" w:rsidRPr="00971F3B" w:rsidRDefault="00971F3B" w:rsidP="00971F3B">
      <w:pPr>
        <w:spacing w:line="360" w:lineRule="auto"/>
        <w:rPr>
          <w:rFonts w:asciiTheme="majorHAnsi" w:hAnsiTheme="majorHAnsi"/>
          <w:sz w:val="24"/>
          <w:szCs w:val="24"/>
        </w:rPr>
      </w:pPr>
    </w:p>
    <w:p w14:paraId="351187E6" w14:textId="77777777" w:rsid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This paper explores various innovative teaching methods currently being implemented in higher education, with a focus on their effectiveness and the challenges they present. The primary research question guiding this review is: What are the most effective innovative teaching methods in higher education, and how do they impact student learning outcomes? By addressing this question, the paper aims to provide educators and institutions with valuable insights into the benefits and potential pitfalls of adopting these methods.</w:t>
      </w:r>
    </w:p>
    <w:p w14:paraId="38B48635" w14:textId="77777777" w:rsidR="00971F3B" w:rsidRDefault="00971F3B" w:rsidP="00971F3B">
      <w:pPr>
        <w:spacing w:line="360" w:lineRule="auto"/>
        <w:rPr>
          <w:rFonts w:asciiTheme="majorHAnsi" w:hAnsiTheme="majorHAnsi"/>
          <w:sz w:val="24"/>
          <w:szCs w:val="24"/>
        </w:rPr>
      </w:pPr>
    </w:p>
    <w:p w14:paraId="4C071AF0" w14:textId="77777777" w:rsidR="00971F3B" w:rsidRDefault="00971F3B" w:rsidP="00971F3B">
      <w:pPr>
        <w:spacing w:line="360" w:lineRule="auto"/>
        <w:rPr>
          <w:rFonts w:asciiTheme="majorHAnsi" w:hAnsiTheme="majorHAnsi"/>
          <w:sz w:val="24"/>
          <w:szCs w:val="24"/>
        </w:rPr>
      </w:pPr>
    </w:p>
    <w:p w14:paraId="0FD4A959" w14:textId="77777777" w:rsidR="00971F3B" w:rsidRDefault="00971F3B" w:rsidP="00971F3B">
      <w:pPr>
        <w:spacing w:line="360" w:lineRule="auto"/>
        <w:rPr>
          <w:rFonts w:asciiTheme="majorHAnsi" w:hAnsiTheme="majorHAnsi"/>
          <w:sz w:val="24"/>
          <w:szCs w:val="24"/>
        </w:rPr>
      </w:pPr>
    </w:p>
    <w:p w14:paraId="7C975619" w14:textId="116A00CC"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pict w14:anchorId="5CCF0D12">
          <v:rect id="_x0000_i1171" style="width:0;height:1.5pt" o:hralign="center" o:hrstd="t" o:hr="t" fillcolor="#a0a0a0" stroked="f"/>
        </w:pict>
      </w:r>
    </w:p>
    <w:p w14:paraId="54CEEB3A" w14:textId="0C426AFC" w:rsidR="00971F3B" w:rsidRDefault="00971F3B" w:rsidP="00971F3B">
      <w:pPr>
        <w:pStyle w:val="Heading1"/>
        <w:spacing w:line="360" w:lineRule="auto"/>
      </w:pPr>
      <w:r w:rsidRPr="00971F3B">
        <w:lastRenderedPageBreak/>
        <w:t xml:space="preserve">Literature Review </w:t>
      </w:r>
    </w:p>
    <w:p w14:paraId="542B1EF9" w14:textId="77777777" w:rsidR="00971F3B" w:rsidRPr="00971F3B" w:rsidRDefault="00971F3B" w:rsidP="00971F3B"/>
    <w:p w14:paraId="2122EA83"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The Shift to Student-Centered Learning</w:t>
      </w:r>
    </w:p>
    <w:p w14:paraId="538B6048"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The shift from teacher-centered to student-centered learning is a defining characteristic of innovative teaching strategies in higher education. Research suggests that student-centered approaches, which emphasize active participation and collaboration, lead to better retention of knowledge and higher levels of student engagement. For instance, the flipped classroom model, where students review lecture materials at home and engage in interactive activities in class, has been shown to improve student performance and satisfaction.</w:t>
      </w:r>
    </w:p>
    <w:p w14:paraId="24F988F1" w14:textId="77777777" w:rsidR="00971F3B" w:rsidRPr="00971F3B" w:rsidRDefault="00971F3B" w:rsidP="00971F3B">
      <w:pPr>
        <w:spacing w:line="360" w:lineRule="auto"/>
        <w:rPr>
          <w:rFonts w:asciiTheme="majorHAnsi" w:hAnsiTheme="majorHAnsi"/>
          <w:b/>
          <w:bCs/>
          <w:sz w:val="24"/>
          <w:szCs w:val="24"/>
        </w:rPr>
      </w:pPr>
      <w:r w:rsidRPr="00971F3B">
        <w:rPr>
          <w:rFonts w:asciiTheme="majorHAnsi" w:hAnsiTheme="majorHAnsi"/>
          <w:b/>
          <w:bCs/>
          <w:sz w:val="24"/>
          <w:szCs w:val="24"/>
        </w:rPr>
        <w:t>Technology Integration in Education</w:t>
      </w:r>
    </w:p>
    <w:p w14:paraId="140756C7"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The integration of technology into the classroom is another key aspect of innovative teaching. Digital tools, such as online learning platforms, interactive simulations, and virtual classrooms, have made it easier for educators to create dynamic, personalized learning experiences. Studies have demonstrated that the use of technology can enhance student engagement by providing immediate feedback, facilitating collaboration, and enabling access to a wealth of online resources.</w:t>
      </w:r>
    </w:p>
    <w:p w14:paraId="7898BFDF" w14:textId="77777777" w:rsidR="00971F3B" w:rsidRPr="00971F3B" w:rsidRDefault="00971F3B" w:rsidP="00971F3B">
      <w:pPr>
        <w:spacing w:line="360" w:lineRule="auto"/>
        <w:rPr>
          <w:rFonts w:asciiTheme="majorHAnsi" w:hAnsiTheme="majorHAnsi"/>
          <w:b/>
          <w:bCs/>
          <w:sz w:val="24"/>
          <w:szCs w:val="24"/>
        </w:rPr>
      </w:pPr>
      <w:r w:rsidRPr="00971F3B">
        <w:rPr>
          <w:rFonts w:asciiTheme="majorHAnsi" w:hAnsiTheme="majorHAnsi"/>
          <w:b/>
          <w:bCs/>
          <w:sz w:val="24"/>
          <w:szCs w:val="24"/>
        </w:rPr>
        <w:t>Experiential and Collaborative Learning</w:t>
      </w:r>
    </w:p>
    <w:p w14:paraId="1705B4F7" w14:textId="77777777" w:rsid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Experiential learning, which involves students actively participating in real-world tasks, is gaining popularity in higher education. This approach helps students apply theoretical knowledge in practical settings, thereby deepening their understanding of the subject matter. Collaborative learning, where students work together to solve problems and complete projects, is also increasingly recognized as a valuable teaching strategy. Research indicates that these methods not only improve academic performance but also develop essential skills such as teamwork, communication, and critical thinking.</w:t>
      </w:r>
    </w:p>
    <w:p w14:paraId="50FC3162" w14:textId="414D504E"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pict w14:anchorId="7663BF57">
          <v:rect id="_x0000_i1175" style="width:0;height:1.5pt" o:hralign="center" o:hrstd="t" o:hr="t" fillcolor="#a0a0a0" stroked="f"/>
        </w:pict>
      </w:r>
    </w:p>
    <w:p w14:paraId="233D06D1" w14:textId="2C8BBDFF" w:rsidR="00971F3B" w:rsidRDefault="00971F3B" w:rsidP="00971F3B">
      <w:pPr>
        <w:pStyle w:val="Heading1"/>
        <w:spacing w:line="360" w:lineRule="auto"/>
      </w:pPr>
      <w:r w:rsidRPr="00971F3B">
        <w:lastRenderedPageBreak/>
        <w:t xml:space="preserve">Methodology </w:t>
      </w:r>
    </w:p>
    <w:p w14:paraId="3674997A" w14:textId="77777777" w:rsidR="00971F3B" w:rsidRPr="00971F3B" w:rsidRDefault="00971F3B" w:rsidP="00971F3B">
      <w:pPr>
        <w:spacing w:line="360" w:lineRule="auto"/>
      </w:pPr>
    </w:p>
    <w:p w14:paraId="62D17A1F"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This paper employs a qualitative meta-analysis approach, synthesizing data from various studies on innovative teaching methods in higher education. The research papers selected for analysis were chosen based on their relevance to the topic, publication in reputable academic journals, and contribution to the field. Data were collected from a range of sources, including peer-reviewed articles, conference proceedings, and reports from educational organizations.</w:t>
      </w:r>
    </w:p>
    <w:p w14:paraId="1946E7BB" w14:textId="24AB7550" w:rsid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The analysis focused on comparing the outcomes of different teaching strategies, particularly in terms of student engagement, learning outcomes, and skill development. The effectiveness of these methods was assessed by examining both quantitative data, such as exam scores and course completion rates, and qualitative data, such as student and teacher feedback.</w:t>
      </w:r>
    </w:p>
    <w:p w14:paraId="3395054F" w14:textId="77777777" w:rsidR="00971F3B" w:rsidRDefault="00971F3B" w:rsidP="00971F3B">
      <w:pPr>
        <w:spacing w:line="360" w:lineRule="auto"/>
        <w:rPr>
          <w:rFonts w:asciiTheme="majorHAnsi" w:hAnsiTheme="majorHAnsi"/>
          <w:sz w:val="24"/>
          <w:szCs w:val="24"/>
        </w:rPr>
      </w:pPr>
    </w:p>
    <w:p w14:paraId="5D8695D2" w14:textId="77777777" w:rsidR="00971F3B" w:rsidRDefault="00971F3B" w:rsidP="00971F3B">
      <w:pPr>
        <w:spacing w:line="360" w:lineRule="auto"/>
        <w:rPr>
          <w:rFonts w:asciiTheme="majorHAnsi" w:hAnsiTheme="majorHAnsi"/>
          <w:sz w:val="24"/>
          <w:szCs w:val="24"/>
        </w:rPr>
      </w:pPr>
    </w:p>
    <w:p w14:paraId="05177E40" w14:textId="77777777" w:rsidR="00971F3B" w:rsidRPr="00971F3B" w:rsidRDefault="00971F3B" w:rsidP="00971F3B">
      <w:pPr>
        <w:spacing w:line="360" w:lineRule="auto"/>
        <w:rPr>
          <w:rFonts w:asciiTheme="majorHAnsi" w:hAnsiTheme="majorHAnsi"/>
          <w:sz w:val="24"/>
          <w:szCs w:val="24"/>
        </w:rPr>
      </w:pPr>
    </w:p>
    <w:p w14:paraId="5034BD0F"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pict w14:anchorId="158126E3">
          <v:rect id="_x0000_i1148" style="width:0;height:1.5pt" o:hralign="center" o:hrstd="t" o:hr="t" fillcolor="#a0a0a0" stroked="f"/>
        </w:pict>
      </w:r>
    </w:p>
    <w:p w14:paraId="7EBCC0E4" w14:textId="77777777" w:rsidR="00971F3B" w:rsidRDefault="00971F3B" w:rsidP="00971F3B">
      <w:pPr>
        <w:pStyle w:val="Heading1"/>
        <w:spacing w:line="360" w:lineRule="auto"/>
      </w:pPr>
    </w:p>
    <w:p w14:paraId="19822CB1" w14:textId="77777777" w:rsidR="00971F3B" w:rsidRDefault="00971F3B" w:rsidP="00971F3B">
      <w:pPr>
        <w:pStyle w:val="Heading1"/>
        <w:spacing w:line="360" w:lineRule="auto"/>
      </w:pPr>
    </w:p>
    <w:p w14:paraId="406B86A5" w14:textId="77777777" w:rsidR="00971F3B" w:rsidRDefault="00971F3B" w:rsidP="00971F3B">
      <w:pPr>
        <w:pStyle w:val="Heading1"/>
        <w:spacing w:line="360" w:lineRule="auto"/>
      </w:pPr>
    </w:p>
    <w:p w14:paraId="7D6676EF" w14:textId="77777777" w:rsidR="00971F3B" w:rsidRPr="00971F3B" w:rsidRDefault="00971F3B" w:rsidP="00971F3B">
      <w:pPr>
        <w:spacing w:line="360" w:lineRule="auto"/>
      </w:pPr>
    </w:p>
    <w:p w14:paraId="1245D745" w14:textId="3B79806F" w:rsidR="00971F3B" w:rsidRPr="00971F3B" w:rsidRDefault="00971F3B" w:rsidP="00971F3B">
      <w:pPr>
        <w:pStyle w:val="Heading1"/>
        <w:spacing w:line="360" w:lineRule="auto"/>
      </w:pPr>
      <w:r w:rsidRPr="00971F3B">
        <w:lastRenderedPageBreak/>
        <w:t xml:space="preserve">Findings and Discussion </w:t>
      </w:r>
    </w:p>
    <w:p w14:paraId="1C603E59" w14:textId="77777777" w:rsidR="00971F3B" w:rsidRPr="00971F3B" w:rsidRDefault="00971F3B" w:rsidP="00971F3B">
      <w:pPr>
        <w:spacing w:line="360" w:lineRule="auto"/>
        <w:rPr>
          <w:rFonts w:asciiTheme="majorHAnsi" w:hAnsiTheme="majorHAnsi"/>
          <w:b/>
          <w:bCs/>
          <w:sz w:val="24"/>
          <w:szCs w:val="24"/>
        </w:rPr>
      </w:pPr>
      <w:r w:rsidRPr="00971F3B">
        <w:rPr>
          <w:rFonts w:asciiTheme="majorHAnsi" w:hAnsiTheme="majorHAnsi"/>
          <w:b/>
          <w:bCs/>
          <w:sz w:val="24"/>
          <w:szCs w:val="24"/>
        </w:rPr>
        <w:t>Key Findings</w:t>
      </w:r>
    </w:p>
    <w:p w14:paraId="33448C5D"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The analysis revealed that innovative teaching methods, particularly those that promote active learning and collaboration, have a significant positive impact on student outcomes. Flipped classrooms, for example, were found to increase student engagement and improve retention of material. Similarly, experiential learning activities, such as internships and project-based learning, were shown to enhance students’ understanding and application of knowledge in real-world contexts.</w:t>
      </w:r>
    </w:p>
    <w:p w14:paraId="67C98FD1"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Technology integration was also found to be highly effective in supporting innovative teaching methods. Online platforms and digital tools not only facilitate more interactive and personalized learning experiences but also make education more accessible to a wider range of students.</w:t>
      </w:r>
    </w:p>
    <w:p w14:paraId="3A9F426E" w14:textId="77777777" w:rsidR="00971F3B" w:rsidRPr="00971F3B" w:rsidRDefault="00971F3B" w:rsidP="00971F3B">
      <w:pPr>
        <w:spacing w:line="360" w:lineRule="auto"/>
        <w:rPr>
          <w:rFonts w:asciiTheme="majorHAnsi" w:hAnsiTheme="majorHAnsi"/>
          <w:b/>
          <w:bCs/>
          <w:sz w:val="24"/>
          <w:szCs w:val="24"/>
        </w:rPr>
      </w:pPr>
      <w:r w:rsidRPr="00971F3B">
        <w:rPr>
          <w:rFonts w:asciiTheme="majorHAnsi" w:hAnsiTheme="majorHAnsi"/>
          <w:b/>
          <w:bCs/>
          <w:sz w:val="24"/>
          <w:szCs w:val="24"/>
        </w:rPr>
        <w:t>Challenges in Implementation</w:t>
      </w:r>
    </w:p>
    <w:p w14:paraId="0AC45952"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Despite the clear benefits, the implementation of these innovative methods is not without challenges. One major hurdle is the need for significant changes in curriculum design and delivery. Traditional teaching methods are deeply ingrained in many educational institutions, and shifting to a more student-centered approach requires time, effort, and resources. Additionally, educators must be adequately trained to use new technologies and adapt to new teaching methods, which can be a daunting task for those who are accustomed to traditional lecture-based instruction.</w:t>
      </w:r>
    </w:p>
    <w:p w14:paraId="29A34CB9" w14:textId="77777777" w:rsid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Another challenge is resistance to change, both from educators and students. Some educators may be hesitant to adopt new methods due to a lack of familiarity or fear of losing control over the classroom. Similarly, students who are used to passive learning may struggle to adapt to more active and collaborative approaches.</w:t>
      </w:r>
    </w:p>
    <w:p w14:paraId="13F64BCA" w14:textId="77777777" w:rsidR="00B16E1B" w:rsidRDefault="00B16E1B" w:rsidP="00971F3B">
      <w:pPr>
        <w:spacing w:line="360" w:lineRule="auto"/>
        <w:rPr>
          <w:rFonts w:asciiTheme="majorHAnsi" w:hAnsiTheme="majorHAnsi"/>
          <w:sz w:val="24"/>
          <w:szCs w:val="24"/>
        </w:rPr>
      </w:pPr>
    </w:p>
    <w:p w14:paraId="52FA91D7" w14:textId="77777777" w:rsidR="00B16E1B" w:rsidRPr="00971F3B" w:rsidRDefault="00B16E1B" w:rsidP="00971F3B">
      <w:pPr>
        <w:spacing w:line="360" w:lineRule="auto"/>
        <w:rPr>
          <w:rFonts w:asciiTheme="majorHAnsi" w:hAnsiTheme="majorHAnsi"/>
          <w:sz w:val="24"/>
          <w:szCs w:val="24"/>
        </w:rPr>
      </w:pPr>
    </w:p>
    <w:p w14:paraId="78C315F1" w14:textId="77777777" w:rsidR="00971F3B" w:rsidRPr="00B16E1B" w:rsidRDefault="00971F3B" w:rsidP="00971F3B">
      <w:pPr>
        <w:spacing w:line="360" w:lineRule="auto"/>
        <w:rPr>
          <w:rFonts w:asciiTheme="majorHAnsi" w:hAnsiTheme="majorHAnsi"/>
          <w:b/>
          <w:bCs/>
          <w:sz w:val="24"/>
          <w:szCs w:val="24"/>
        </w:rPr>
      </w:pPr>
      <w:r w:rsidRPr="00B16E1B">
        <w:rPr>
          <w:rFonts w:asciiTheme="majorHAnsi" w:hAnsiTheme="majorHAnsi"/>
          <w:b/>
          <w:bCs/>
          <w:sz w:val="24"/>
          <w:szCs w:val="24"/>
        </w:rPr>
        <w:lastRenderedPageBreak/>
        <w:t>Implications for Educators and Institutions</w:t>
      </w:r>
    </w:p>
    <w:p w14:paraId="6F2DBC5A"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The findings of this review have several important implications for educators and higher education institutions. First, there is a clear need for ongoing professional development to help educators adapt to new teaching methods and technologies. Institutions must provide support and resources to facilitate this transition, including training programs, workshops, and access to technological tools.</w:t>
      </w:r>
    </w:p>
    <w:p w14:paraId="489FC800"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Second, institutions must be willing to invest in the necessary infrastructure to support innovative teaching methods. This includes not only physical resources, such as classroom technology and learning spaces but also organizational support for curriculum development and instructional design.</w:t>
      </w:r>
    </w:p>
    <w:p w14:paraId="3252A7B4" w14:textId="1114FB66"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Finally, there is a need for further research to explore the long-term impact of these innovative teaching methods on student outcomes. While the short-term benefits are clear, it is important to understand how these methods influence students’ success beyond the classroom, including their career readiness and ability to adapt to a rapidly changing workforce.</w:t>
      </w:r>
      <w:r w:rsidRPr="00971F3B">
        <w:rPr>
          <w:rFonts w:asciiTheme="majorHAnsi" w:hAnsiTheme="majorHAnsi"/>
          <w:sz w:val="24"/>
          <w:szCs w:val="24"/>
        </w:rPr>
        <w:pict w14:anchorId="16BD7E3A">
          <v:rect id="_x0000_i1149" style="width:0;height:1.5pt" o:hralign="center" o:hrstd="t" o:hr="t" fillcolor="#a0a0a0" stroked="f"/>
        </w:pict>
      </w:r>
    </w:p>
    <w:p w14:paraId="03810ABF" w14:textId="77777777" w:rsidR="00971F3B" w:rsidRDefault="00971F3B" w:rsidP="00971F3B">
      <w:pPr>
        <w:pStyle w:val="Heading1"/>
        <w:spacing w:line="360" w:lineRule="auto"/>
      </w:pPr>
    </w:p>
    <w:p w14:paraId="188517A3" w14:textId="77777777" w:rsidR="00971F3B" w:rsidRDefault="00971F3B" w:rsidP="00971F3B"/>
    <w:p w14:paraId="28874853" w14:textId="77777777" w:rsidR="00971F3B" w:rsidRDefault="00971F3B" w:rsidP="00971F3B"/>
    <w:p w14:paraId="1BE32E1E" w14:textId="77777777" w:rsidR="00971F3B" w:rsidRDefault="00971F3B" w:rsidP="00971F3B"/>
    <w:p w14:paraId="6D6664B1" w14:textId="77777777" w:rsidR="00971F3B" w:rsidRDefault="00971F3B" w:rsidP="00971F3B"/>
    <w:p w14:paraId="6E33E8A5" w14:textId="77777777" w:rsidR="00971F3B" w:rsidRDefault="00971F3B" w:rsidP="00971F3B"/>
    <w:p w14:paraId="7F7DD903" w14:textId="77777777" w:rsidR="00971F3B" w:rsidRDefault="00971F3B" w:rsidP="00971F3B"/>
    <w:p w14:paraId="5A4D3D55" w14:textId="77777777" w:rsidR="00971F3B" w:rsidRPr="00971F3B" w:rsidRDefault="00971F3B" w:rsidP="00971F3B"/>
    <w:p w14:paraId="3A847F8D" w14:textId="332DEA44" w:rsidR="00971F3B" w:rsidRPr="00971F3B" w:rsidRDefault="00971F3B" w:rsidP="00971F3B">
      <w:pPr>
        <w:pStyle w:val="Heading1"/>
        <w:spacing w:line="360" w:lineRule="auto"/>
      </w:pPr>
      <w:r w:rsidRPr="00971F3B">
        <w:lastRenderedPageBreak/>
        <w:t xml:space="preserve">Conclusion </w:t>
      </w:r>
    </w:p>
    <w:p w14:paraId="081E1440"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In conclusion, this paper has provided a comprehensive review of innovative teaching strategies in higher education, highlighting their effectiveness in improving student engagement and learning outcomes. The findings suggest that while these methods present challenges, particularly in terms of implementation and resistance to change, they hold significant potential to transform higher education.</w:t>
      </w:r>
    </w:p>
    <w:p w14:paraId="04FB8E6E"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For educators and institutions, the adoption of these innovative methods requires a commitment to ongoing professional development and a willingness to invest in the necessary resources. However, the benefits of these methods—such as improved student engagement, enhanced learning outcomes, and better preparation for real-world challenges—make them a worthwhile investment.</w:t>
      </w:r>
    </w:p>
    <w:p w14:paraId="4193C7C2"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As higher education continues to evolve, it is essential for educators to remain adaptable and open to new approaches. By embracing innovation in teaching, institutions can better prepare students for the complexities of the modern world and contribute to the development of a more skilled and adaptable workforce.</w:t>
      </w:r>
    </w:p>
    <w:p w14:paraId="5D634759"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pict w14:anchorId="7EA02D8A">
          <v:rect id="_x0000_i1150" style="width:0;height:1.5pt" o:hralign="center" o:hrstd="t" o:hr="t" fillcolor="#a0a0a0" stroked="f"/>
        </w:pict>
      </w:r>
    </w:p>
    <w:p w14:paraId="3C71744B" w14:textId="77777777" w:rsidR="00971F3B" w:rsidRDefault="00971F3B" w:rsidP="00971F3B">
      <w:pPr>
        <w:pStyle w:val="Heading1"/>
        <w:spacing w:line="360" w:lineRule="auto"/>
      </w:pPr>
    </w:p>
    <w:p w14:paraId="2F406933" w14:textId="77777777" w:rsidR="00971F3B" w:rsidRDefault="00971F3B" w:rsidP="00971F3B"/>
    <w:p w14:paraId="76CEA78E" w14:textId="77777777" w:rsidR="00971F3B" w:rsidRDefault="00971F3B" w:rsidP="00971F3B"/>
    <w:p w14:paraId="7EB52CB6" w14:textId="77777777" w:rsidR="00971F3B" w:rsidRDefault="00971F3B" w:rsidP="00971F3B"/>
    <w:p w14:paraId="045B9B3B" w14:textId="77777777" w:rsidR="00971F3B" w:rsidRPr="00971F3B" w:rsidRDefault="00971F3B" w:rsidP="00971F3B"/>
    <w:p w14:paraId="47D624FA" w14:textId="77777777" w:rsidR="00971F3B" w:rsidRPr="00971F3B" w:rsidRDefault="00971F3B" w:rsidP="00971F3B">
      <w:pPr>
        <w:spacing w:line="360" w:lineRule="auto"/>
      </w:pPr>
    </w:p>
    <w:p w14:paraId="44B5146C" w14:textId="50A09B45" w:rsidR="00971F3B" w:rsidRPr="00971F3B" w:rsidRDefault="00971F3B" w:rsidP="00971F3B">
      <w:pPr>
        <w:pStyle w:val="Heading1"/>
        <w:spacing w:line="360" w:lineRule="auto"/>
      </w:pPr>
      <w:r w:rsidRPr="00971F3B">
        <w:lastRenderedPageBreak/>
        <w:t xml:space="preserve">References </w:t>
      </w:r>
    </w:p>
    <w:p w14:paraId="71DD4D12"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 xml:space="preserve">OECD. (Year). </w:t>
      </w:r>
      <w:r w:rsidRPr="00971F3B">
        <w:rPr>
          <w:rFonts w:asciiTheme="majorHAnsi" w:hAnsiTheme="majorHAnsi"/>
          <w:i/>
          <w:iCs/>
          <w:sz w:val="24"/>
          <w:szCs w:val="24"/>
        </w:rPr>
        <w:t>Innovative Teaching Strategies in Higher Education: A Review</w:t>
      </w:r>
      <w:r w:rsidRPr="00971F3B">
        <w:rPr>
          <w:rFonts w:asciiTheme="majorHAnsi" w:hAnsiTheme="majorHAnsi"/>
          <w:sz w:val="24"/>
          <w:szCs w:val="24"/>
        </w:rPr>
        <w:t xml:space="preserve">. Retrieved from </w:t>
      </w:r>
      <w:hyperlink r:id="rId5" w:tgtFrame="_new" w:history="1">
        <w:r w:rsidRPr="00971F3B">
          <w:rPr>
            <w:rStyle w:val="Hyperlink"/>
            <w:rFonts w:asciiTheme="majorHAnsi" w:hAnsiTheme="majorHAnsi"/>
            <w:sz w:val="24"/>
            <w:szCs w:val="24"/>
          </w:rPr>
          <w:t>https://www.oecd-ilibrary.org/docserver/5k3tsj67l226-en.pdf?expires=1723810352&amp;id=id&amp;accname=guest&amp;checksum=A587B80C108E84C043EBEA5D5614E4C8</w:t>
        </w:r>
      </w:hyperlink>
    </w:p>
    <w:p w14:paraId="51E2A393"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 xml:space="preserve">Author, A. A., &amp; Author, B. B. (Year). Title of the article. </w:t>
      </w:r>
      <w:r w:rsidRPr="00971F3B">
        <w:rPr>
          <w:rFonts w:asciiTheme="majorHAnsi" w:hAnsiTheme="majorHAnsi"/>
          <w:i/>
          <w:iCs/>
          <w:sz w:val="24"/>
          <w:szCs w:val="24"/>
        </w:rPr>
        <w:t>Journal Name</w:t>
      </w:r>
      <w:r w:rsidRPr="00971F3B">
        <w:rPr>
          <w:rFonts w:asciiTheme="majorHAnsi" w:hAnsiTheme="majorHAnsi"/>
          <w:sz w:val="24"/>
          <w:szCs w:val="24"/>
        </w:rPr>
        <w:t xml:space="preserve">, </w:t>
      </w:r>
      <w:proofErr w:type="gramStart"/>
      <w:r w:rsidRPr="00971F3B">
        <w:rPr>
          <w:rFonts w:asciiTheme="majorHAnsi" w:hAnsiTheme="majorHAnsi"/>
          <w:i/>
          <w:iCs/>
          <w:sz w:val="24"/>
          <w:szCs w:val="24"/>
        </w:rPr>
        <w:t>Volume</w:t>
      </w:r>
      <w:r w:rsidRPr="00971F3B">
        <w:rPr>
          <w:rFonts w:asciiTheme="majorHAnsi" w:hAnsiTheme="majorHAnsi"/>
          <w:sz w:val="24"/>
          <w:szCs w:val="24"/>
        </w:rPr>
        <w:t>(</w:t>
      </w:r>
      <w:proofErr w:type="gramEnd"/>
      <w:r w:rsidRPr="00971F3B">
        <w:rPr>
          <w:rFonts w:asciiTheme="majorHAnsi" w:hAnsiTheme="majorHAnsi"/>
          <w:sz w:val="24"/>
          <w:szCs w:val="24"/>
        </w:rPr>
        <w:t>Issue), Pages.</w:t>
      </w:r>
    </w:p>
    <w:p w14:paraId="7EAA17F0"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 xml:space="preserve">Smith, J. (Year). </w:t>
      </w:r>
      <w:r w:rsidRPr="00971F3B">
        <w:rPr>
          <w:rFonts w:asciiTheme="majorHAnsi" w:hAnsiTheme="majorHAnsi"/>
          <w:i/>
          <w:iCs/>
          <w:sz w:val="24"/>
          <w:szCs w:val="24"/>
        </w:rPr>
        <w:t>Title of the book</w:t>
      </w:r>
      <w:r w:rsidRPr="00971F3B">
        <w:rPr>
          <w:rFonts w:asciiTheme="majorHAnsi" w:hAnsiTheme="majorHAnsi"/>
          <w:sz w:val="24"/>
          <w:szCs w:val="24"/>
        </w:rPr>
        <w:t>. Publisher.</w:t>
      </w:r>
    </w:p>
    <w:p w14:paraId="5E6554B6"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Additional references can be added here, based on the papers and sources cited in the literature review and findings.</w:t>
      </w:r>
    </w:p>
    <w:p w14:paraId="26B32859" w14:textId="77777777" w:rsidR="00971F3B" w:rsidRDefault="00971F3B" w:rsidP="00971F3B">
      <w:pPr>
        <w:spacing w:line="360" w:lineRule="auto"/>
        <w:rPr>
          <w:rFonts w:asciiTheme="majorHAnsi" w:hAnsiTheme="majorHAnsi"/>
          <w:sz w:val="24"/>
          <w:szCs w:val="24"/>
        </w:rPr>
      </w:pPr>
    </w:p>
    <w:p w14:paraId="594518F2" w14:textId="530C42A2" w:rsidR="001515D9"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pict w14:anchorId="421FA511">
          <v:rect id="_x0000_i1177" style="width:0;height:1.5pt" o:hralign="center" o:hrstd="t" o:hr="t" fillcolor="#a0a0a0" stroked="f"/>
        </w:pict>
      </w:r>
      <w:r w:rsidRPr="00971F3B">
        <w:rPr>
          <w:rFonts w:asciiTheme="majorHAnsi" w:hAnsiTheme="majorHAnsi"/>
          <w:sz w:val="24"/>
          <w:szCs w:val="24"/>
        </w:rPr>
        <w:pict w14:anchorId="4FAD35B2">
          <v:rect id="_x0000_i1176" style="width:0;height:1.5pt" o:hralign="center" o:hrstd="t" o:hr="t" fillcolor="#a0a0a0" stroked="f"/>
        </w:pict>
      </w:r>
    </w:p>
    <w:sectPr w:rsidR="001515D9" w:rsidRPr="00971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24948"/>
    <w:multiLevelType w:val="multilevel"/>
    <w:tmpl w:val="2904D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5810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3B"/>
    <w:rsid w:val="00003625"/>
    <w:rsid w:val="000F2816"/>
    <w:rsid w:val="001515D9"/>
    <w:rsid w:val="008F02E6"/>
    <w:rsid w:val="00971F3B"/>
    <w:rsid w:val="00B16E1B"/>
    <w:rsid w:val="00B67B20"/>
    <w:rsid w:val="00DF72AE"/>
    <w:rsid w:val="00EB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722C"/>
  <w15:chartTrackingRefBased/>
  <w15:docId w15:val="{BB17AC69-F628-432D-B640-C28955BFB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F3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71F3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71F3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71F3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71F3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71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F3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71F3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71F3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71F3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71F3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71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F3B"/>
    <w:rPr>
      <w:rFonts w:eastAsiaTheme="majorEastAsia" w:cstheme="majorBidi"/>
      <w:color w:val="272727" w:themeColor="text1" w:themeTint="D8"/>
    </w:rPr>
  </w:style>
  <w:style w:type="paragraph" w:styleId="Title">
    <w:name w:val="Title"/>
    <w:basedOn w:val="Normal"/>
    <w:next w:val="Normal"/>
    <w:link w:val="TitleChar"/>
    <w:uiPriority w:val="10"/>
    <w:qFormat/>
    <w:rsid w:val="00971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F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F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1F3B"/>
    <w:rPr>
      <w:i/>
      <w:iCs/>
      <w:color w:val="404040" w:themeColor="text1" w:themeTint="BF"/>
    </w:rPr>
  </w:style>
  <w:style w:type="paragraph" w:styleId="ListParagraph">
    <w:name w:val="List Paragraph"/>
    <w:basedOn w:val="Normal"/>
    <w:uiPriority w:val="34"/>
    <w:qFormat/>
    <w:rsid w:val="00971F3B"/>
    <w:pPr>
      <w:ind w:left="720"/>
      <w:contextualSpacing/>
    </w:pPr>
  </w:style>
  <w:style w:type="character" w:styleId="IntenseEmphasis">
    <w:name w:val="Intense Emphasis"/>
    <w:basedOn w:val="DefaultParagraphFont"/>
    <w:uiPriority w:val="21"/>
    <w:qFormat/>
    <w:rsid w:val="00971F3B"/>
    <w:rPr>
      <w:i/>
      <w:iCs/>
      <w:color w:val="365F91" w:themeColor="accent1" w:themeShade="BF"/>
    </w:rPr>
  </w:style>
  <w:style w:type="paragraph" w:styleId="IntenseQuote">
    <w:name w:val="Intense Quote"/>
    <w:basedOn w:val="Normal"/>
    <w:next w:val="Normal"/>
    <w:link w:val="IntenseQuoteChar"/>
    <w:uiPriority w:val="30"/>
    <w:qFormat/>
    <w:rsid w:val="00971F3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71F3B"/>
    <w:rPr>
      <w:i/>
      <w:iCs/>
      <w:color w:val="365F91" w:themeColor="accent1" w:themeShade="BF"/>
    </w:rPr>
  </w:style>
  <w:style w:type="character" w:styleId="IntenseReference">
    <w:name w:val="Intense Reference"/>
    <w:basedOn w:val="DefaultParagraphFont"/>
    <w:uiPriority w:val="32"/>
    <w:qFormat/>
    <w:rsid w:val="00971F3B"/>
    <w:rPr>
      <w:b/>
      <w:bCs/>
      <w:smallCaps/>
      <w:color w:val="365F91" w:themeColor="accent1" w:themeShade="BF"/>
      <w:spacing w:val="5"/>
    </w:rPr>
  </w:style>
  <w:style w:type="character" w:styleId="Hyperlink">
    <w:name w:val="Hyperlink"/>
    <w:basedOn w:val="DefaultParagraphFont"/>
    <w:uiPriority w:val="99"/>
    <w:unhideWhenUsed/>
    <w:rsid w:val="00971F3B"/>
    <w:rPr>
      <w:color w:val="0000FF" w:themeColor="hyperlink"/>
      <w:u w:val="single"/>
    </w:rPr>
  </w:style>
  <w:style w:type="character" w:styleId="UnresolvedMention">
    <w:name w:val="Unresolved Mention"/>
    <w:basedOn w:val="DefaultParagraphFont"/>
    <w:uiPriority w:val="99"/>
    <w:semiHidden/>
    <w:unhideWhenUsed/>
    <w:rsid w:val="00971F3B"/>
    <w:rPr>
      <w:color w:val="605E5C"/>
      <w:shd w:val="clear" w:color="auto" w:fill="E1DFDD"/>
    </w:rPr>
  </w:style>
  <w:style w:type="paragraph" w:styleId="NoSpacing">
    <w:name w:val="No Spacing"/>
    <w:uiPriority w:val="1"/>
    <w:qFormat/>
    <w:rsid w:val="00971F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56763">
      <w:bodyDiv w:val="1"/>
      <w:marLeft w:val="0"/>
      <w:marRight w:val="0"/>
      <w:marTop w:val="0"/>
      <w:marBottom w:val="0"/>
      <w:divBdr>
        <w:top w:val="none" w:sz="0" w:space="0" w:color="auto"/>
        <w:left w:val="none" w:sz="0" w:space="0" w:color="auto"/>
        <w:bottom w:val="none" w:sz="0" w:space="0" w:color="auto"/>
        <w:right w:val="none" w:sz="0" w:space="0" w:color="auto"/>
      </w:divBdr>
    </w:div>
    <w:div w:id="11557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ecd-ilibrary.org/docserver/5k3tsj67l226-en.pdf?expires=1723810352&amp;id=id&amp;accname=guest&amp;checksum=A587B80C108E84C043EBEA5D5614E4C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2024-08-16T12:16:00Z</dcterms:created>
  <dcterms:modified xsi:type="dcterms:W3CDTF">2024-08-16T12:28:00Z</dcterms:modified>
</cp:coreProperties>
</file>