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A3C45" w14:textId="77777777" w:rsidR="007505A5" w:rsidRDefault="00000000">
      <w:pPr>
        <w:spacing w:after="60"/>
      </w:pPr>
      <w:r>
        <w:rPr>
          <w:b/>
          <w:bCs/>
          <w:color w:val="1E2761"/>
          <w:sz w:val="40"/>
          <w:szCs w:val="40"/>
        </w:rPr>
        <w:t>BUSINESS REQUIREMENTS DOCUMENT</w:t>
      </w:r>
    </w:p>
    <w:p w14:paraId="2166EE85" w14:textId="77777777" w:rsidR="007505A5" w:rsidRDefault="00000000">
      <w:pPr>
        <w:spacing w:after="120"/>
      </w:pPr>
      <w:r>
        <w:rPr>
          <w:b/>
          <w:bCs/>
          <w:sz w:val="26"/>
          <w:szCs w:val="26"/>
        </w:rPr>
        <w:t>Gold Coin Delivery Platform — Finalized Scope of Work</w:t>
      </w:r>
    </w:p>
    <w:p w14:paraId="04D93ACA" w14:textId="77777777" w:rsidR="007505A5" w:rsidRDefault="00000000">
      <w:pPr>
        <w:spacing w:after="120"/>
      </w:pPr>
      <w:r>
        <w:rPr>
          <w:color w:val="5F5E5A"/>
        </w:rPr>
        <w:t>Tamil Nadu Government Gold Coin Scheme — Titan Company Limited | Version 1.6 | Supersedes Approach A/B working drafts</w:t>
      </w:r>
    </w:p>
    <w:p w14:paraId="1CB0FC06" w14:textId="77777777" w:rsidR="007505A5" w:rsidRDefault="00000000">
      <w:pPr>
        <w:pStyle w:val="Heading1"/>
        <w:spacing w:before="320" w:after="150"/>
      </w:pPr>
      <w:r>
        <w:rPr>
          <w:b/>
          <w:bCs/>
          <w:color w:val="1E2761"/>
        </w:rPr>
        <w:t>1. Purpose &amp; status</w:t>
      </w:r>
    </w:p>
    <w:p w14:paraId="4CC14533" w14:textId="77777777" w:rsidR="007505A5" w:rsidRDefault="00000000">
      <w:pPr>
        <w:spacing w:after="120"/>
      </w:pPr>
      <w:r>
        <w:t>This document replaces the earlier Approach A / Approach B working drafts with a single, finalized scope of work. Approach A (pre-assignment before dispatch, Titan-built delivery app) has been scrapped as not feasible. This BRD reflects one platform design, built around Sequel executing delivery end-to-end and reporting back to Titan's platform as the system of record.</w:t>
      </w:r>
    </w:p>
    <w:p w14:paraId="2D889942" w14:textId="77777777" w:rsidR="007505A5" w:rsidRDefault="00000000">
      <w:pPr>
        <w:spacing w:after="120"/>
      </w:pPr>
      <w:r>
        <w:t>Open items requiring confirmation from CBG Finance, TN Government, and/or Sequel are consolidated in Section 8, grouped by category and by which team owns the answer, with a blank Outcome column to be filled in as each is resolved.</w:t>
      </w:r>
    </w:p>
    <w:p w14:paraId="6C6C49BF" w14:textId="77777777" w:rsidR="007505A5" w:rsidRDefault="00000000">
      <w:pPr>
        <w:pStyle w:val="Heading1"/>
        <w:spacing w:before="320" w:after="150"/>
      </w:pPr>
      <w:r>
        <w:rPr>
          <w:b/>
          <w:bCs/>
          <w:color w:val="1E2761"/>
        </w:rPr>
        <w:t>2. Scope of work</w:t>
      </w:r>
    </w:p>
    <w:p w14:paraId="11561D40" w14:textId="77777777" w:rsidR="007505A5" w:rsidRDefault="00000000">
      <w:pPr>
        <w:pStyle w:val="Heading2"/>
        <w:spacing w:before="220" w:after="100"/>
      </w:pPr>
      <w:r>
        <w:rPr>
          <w:b/>
          <w:bCs/>
          <w:color w:val="1E2761"/>
          <w:sz w:val="24"/>
          <w:szCs w:val="24"/>
        </w:rPr>
        <w:t>2.1 Beneficiary list intake</w:t>
      </w:r>
    </w:p>
    <w:p w14:paraId="2FACD347" w14:textId="77777777" w:rsidR="007505A5" w:rsidRDefault="00000000">
      <w:pPr>
        <w:spacing w:after="120"/>
      </w:pPr>
      <w:r>
        <w:t>TN Govt uploads the beneficiary list to the platform. Each record includes:</w:t>
      </w:r>
    </w:p>
    <w:p w14:paraId="14321905" w14:textId="77777777" w:rsidR="007505A5" w:rsidRDefault="00000000">
      <w:pPr>
        <w:pStyle w:val="ListParagraph"/>
        <w:numPr>
          <w:ilvl w:val="0"/>
          <w:numId w:val="2"/>
        </w:numPr>
        <w:spacing w:after="60"/>
      </w:pPr>
      <w:r>
        <w:t>Door/House Number</w:t>
      </w:r>
    </w:p>
    <w:p w14:paraId="60F6A091" w14:textId="77777777" w:rsidR="007505A5" w:rsidRDefault="00000000">
      <w:pPr>
        <w:pStyle w:val="ListParagraph"/>
        <w:numPr>
          <w:ilvl w:val="0"/>
          <w:numId w:val="2"/>
        </w:numPr>
        <w:spacing w:after="60"/>
      </w:pPr>
      <w:r>
        <w:t>Building Name or Number / Apartment Name / Plot Number</w:t>
      </w:r>
    </w:p>
    <w:p w14:paraId="707ACD04" w14:textId="77777777" w:rsidR="007505A5" w:rsidRDefault="00000000">
      <w:pPr>
        <w:pStyle w:val="ListParagraph"/>
        <w:numPr>
          <w:ilvl w:val="0"/>
          <w:numId w:val="2"/>
        </w:numPr>
        <w:spacing w:after="60"/>
      </w:pPr>
      <w:r>
        <w:t>Street Name / Road</w:t>
      </w:r>
    </w:p>
    <w:p w14:paraId="3217F356" w14:textId="77777777" w:rsidR="007505A5" w:rsidRDefault="00000000">
      <w:pPr>
        <w:pStyle w:val="ListParagraph"/>
        <w:numPr>
          <w:ilvl w:val="0"/>
          <w:numId w:val="2"/>
        </w:numPr>
        <w:spacing w:after="60"/>
      </w:pPr>
      <w:r>
        <w:t>Area / Locality</w:t>
      </w:r>
    </w:p>
    <w:p w14:paraId="5BDEFED6" w14:textId="77777777" w:rsidR="007505A5" w:rsidRDefault="00000000">
      <w:pPr>
        <w:pStyle w:val="ListParagraph"/>
        <w:numPr>
          <w:ilvl w:val="0"/>
          <w:numId w:val="2"/>
        </w:numPr>
        <w:spacing w:after="60"/>
      </w:pPr>
      <w:r>
        <w:t>Landmark</w:t>
      </w:r>
    </w:p>
    <w:p w14:paraId="14E3345B" w14:textId="77777777" w:rsidR="007505A5" w:rsidRDefault="00000000">
      <w:pPr>
        <w:pStyle w:val="ListParagraph"/>
        <w:numPr>
          <w:ilvl w:val="0"/>
          <w:numId w:val="2"/>
        </w:numPr>
        <w:spacing w:after="60"/>
      </w:pPr>
      <w:r>
        <w:t>Village / Taluk</w:t>
      </w:r>
    </w:p>
    <w:p w14:paraId="6B5C4E03" w14:textId="77777777" w:rsidR="007505A5" w:rsidRDefault="00000000">
      <w:pPr>
        <w:pStyle w:val="ListParagraph"/>
        <w:numPr>
          <w:ilvl w:val="0"/>
          <w:numId w:val="2"/>
        </w:numPr>
        <w:spacing w:after="60"/>
      </w:pPr>
      <w:r>
        <w:t>City / Town</w:t>
      </w:r>
    </w:p>
    <w:p w14:paraId="4F29C9D1" w14:textId="77777777" w:rsidR="007505A5" w:rsidRDefault="00000000">
      <w:pPr>
        <w:pStyle w:val="ListParagraph"/>
        <w:numPr>
          <w:ilvl w:val="0"/>
          <w:numId w:val="2"/>
        </w:numPr>
        <w:spacing w:after="60"/>
      </w:pPr>
      <w:r>
        <w:t>District</w:t>
      </w:r>
    </w:p>
    <w:p w14:paraId="11303304" w14:textId="77777777" w:rsidR="007505A5" w:rsidRDefault="00000000">
      <w:pPr>
        <w:pStyle w:val="ListParagraph"/>
        <w:numPr>
          <w:ilvl w:val="0"/>
          <w:numId w:val="2"/>
        </w:numPr>
        <w:spacing w:after="60"/>
      </w:pPr>
      <w:r>
        <w:t>Pincode (6 digits)</w:t>
      </w:r>
    </w:p>
    <w:p w14:paraId="0121DD00" w14:textId="77777777" w:rsidR="007505A5" w:rsidRDefault="00000000">
      <w:pPr>
        <w:pStyle w:val="ListParagraph"/>
        <w:numPr>
          <w:ilvl w:val="0"/>
          <w:numId w:val="2"/>
        </w:numPr>
        <w:spacing w:after="60"/>
      </w:pPr>
      <w:r>
        <w:t>Receiver Name</w:t>
      </w:r>
    </w:p>
    <w:p w14:paraId="0B27F37D" w14:textId="77777777" w:rsidR="007505A5" w:rsidRDefault="00000000">
      <w:pPr>
        <w:pStyle w:val="ListParagraph"/>
        <w:numPr>
          <w:ilvl w:val="0"/>
          <w:numId w:val="2"/>
        </w:numPr>
        <w:spacing w:after="60"/>
      </w:pPr>
      <w:r>
        <w:t>Primary Mobile Number (10-digit) — delivery coordination and OTP verification</w:t>
      </w:r>
    </w:p>
    <w:p w14:paraId="16B4B584" w14:textId="77777777" w:rsidR="007505A5" w:rsidRDefault="00000000">
      <w:pPr>
        <w:pStyle w:val="ListParagraph"/>
        <w:numPr>
          <w:ilvl w:val="0"/>
          <w:numId w:val="2"/>
        </w:numPr>
        <w:spacing w:after="60"/>
      </w:pPr>
      <w:r>
        <w:t>Alternate Mobile Number (10-digit) — backup coordination only; no OTP sent here</w:t>
      </w:r>
    </w:p>
    <w:p w14:paraId="2DA44349" w14:textId="77777777" w:rsidR="007505A5" w:rsidRDefault="00000000">
      <w:pPr>
        <w:pStyle w:val="ListParagraph"/>
        <w:numPr>
          <w:ilvl w:val="0"/>
          <w:numId w:val="2"/>
        </w:numPr>
        <w:spacing w:after="60"/>
      </w:pPr>
      <w:r>
        <w:t>Identity Verification — last 4 digits of Aadhaar Number</w:t>
      </w:r>
    </w:p>
    <w:p w14:paraId="11B61DCD" w14:textId="77777777" w:rsidR="007505A5" w:rsidRDefault="00000000">
      <w:pPr>
        <w:pStyle w:val="ListParagraph"/>
        <w:numPr>
          <w:ilvl w:val="0"/>
          <w:numId w:val="2"/>
        </w:numPr>
        <w:spacing w:after="60"/>
      </w:pPr>
      <w:r>
        <w:t>Unique/voucher code — issued by TN Govt to the beneficiary, included in the uploaded file</w:t>
      </w:r>
    </w:p>
    <w:p w14:paraId="12A20E3D" w14:textId="77777777" w:rsidR="007505A5" w:rsidRDefault="00000000">
      <w:pPr>
        <w:pStyle w:val="Heading2"/>
        <w:spacing w:before="220" w:after="100"/>
      </w:pPr>
      <w:r>
        <w:rPr>
          <w:b/>
          <w:bCs/>
          <w:color w:val="1E2761"/>
          <w:sz w:val="24"/>
          <w:szCs w:val="24"/>
        </w:rPr>
        <w:t>2.2 File validation at upload</w:t>
      </w:r>
    </w:p>
    <w:p w14:paraId="6E09044D" w14:textId="77777777" w:rsidR="007505A5" w:rsidRDefault="00000000">
      <w:pPr>
        <w:spacing w:after="120"/>
      </w:pPr>
      <w:r>
        <w:t>Titan performs a basic, format-level check at upload — not an identity or business-rule check (Section 7). This includes mandatory-field presence, format rules (e.g. valid 10-digit mobile numbers), and duplicate-record detection within the file. Every error is surfaced together in a single pass, with the exact row/field location, so TN Govt can correct everything before re-uploading.</w:t>
      </w:r>
    </w:p>
    <w:p w14:paraId="6AF6E0C3" w14:textId="77777777" w:rsidR="007505A5" w:rsidRDefault="00000000">
      <w:pPr>
        <w:pStyle w:val="ListParagraph"/>
        <w:numPr>
          <w:ilvl w:val="0"/>
          <w:numId w:val="2"/>
        </w:numPr>
        <w:spacing w:after="60"/>
      </w:pPr>
      <w:r>
        <w:t>A file with any remaining errors is not processed — error records are not considered for order creation until the file is fully clean.</w:t>
      </w:r>
    </w:p>
    <w:p w14:paraId="1C1998BF" w14:textId="77777777" w:rsidR="007505A5" w:rsidRDefault="00000000">
      <w:pPr>
        <w:pStyle w:val="ListParagraph"/>
        <w:numPr>
          <w:ilvl w:val="0"/>
          <w:numId w:val="2"/>
        </w:numPr>
        <w:spacing w:after="60"/>
      </w:pPr>
      <w:r>
        <w:t>A corrected re-upload is treated as a new, independent batch, not an update to the erroring one.</w:t>
      </w:r>
    </w:p>
    <w:p w14:paraId="3C25A3B4" w14:textId="77777777" w:rsidR="00DC6D83" w:rsidRDefault="00DC6D83">
      <w:pPr>
        <w:pStyle w:val="Heading2"/>
        <w:spacing w:before="220" w:after="100"/>
        <w:rPr>
          <w:b/>
          <w:bCs/>
          <w:color w:val="1E2761"/>
          <w:sz w:val="24"/>
          <w:szCs w:val="24"/>
        </w:rPr>
      </w:pPr>
    </w:p>
    <w:p w14:paraId="1D058D43" w14:textId="7DE7AEB0" w:rsidR="007505A5" w:rsidRDefault="00000000">
      <w:pPr>
        <w:pStyle w:val="Heading2"/>
        <w:spacing w:before="220" w:after="100"/>
      </w:pPr>
      <w:r>
        <w:rPr>
          <w:b/>
          <w:bCs/>
          <w:color w:val="1E2761"/>
          <w:sz w:val="24"/>
          <w:szCs w:val="24"/>
        </w:rPr>
        <w:lastRenderedPageBreak/>
        <w:t>2.3 Batch confirmation gate</w:t>
      </w:r>
    </w:p>
    <w:p w14:paraId="79090DD1" w14:textId="77777777" w:rsidR="007505A5" w:rsidRDefault="00000000">
      <w:pPr>
        <w:spacing w:after="120"/>
      </w:pPr>
      <w:r>
        <w:t>Once a file passes validation with no errors, TN Govt must explicitly confirm the batch within the platform before any order is created. This confirmation step is a deliberate gate — a clean file alone does not trigger processing.</w:t>
      </w:r>
    </w:p>
    <w:p w14:paraId="6B63F9E4" w14:textId="77777777" w:rsidR="007505A5" w:rsidRDefault="00000000">
      <w:pPr>
        <w:pStyle w:val="Heading2"/>
        <w:spacing w:before="220" w:after="100"/>
      </w:pPr>
      <w:r>
        <w:rPr>
          <w:b/>
          <w:bCs/>
          <w:color w:val="1E2761"/>
          <w:sz w:val="24"/>
          <w:szCs w:val="24"/>
        </w:rPr>
        <w:t>2.4 Batch &amp; order creation</w:t>
      </w:r>
    </w:p>
    <w:p w14:paraId="7576A07A" w14:textId="77777777" w:rsidR="007505A5" w:rsidRDefault="00000000">
      <w:pPr>
        <w:pStyle w:val="ListParagraph"/>
        <w:numPr>
          <w:ilvl w:val="0"/>
          <w:numId w:val="2"/>
        </w:numPr>
        <w:spacing w:after="60"/>
      </w:pPr>
      <w:r>
        <w:t>Each confirmed upload is one independent batch, with its own SLA — no relationship to any other batch.</w:t>
      </w:r>
    </w:p>
    <w:p w14:paraId="62F763E0" w14:textId="77777777" w:rsidR="007505A5" w:rsidRDefault="00000000">
      <w:pPr>
        <w:pStyle w:val="ListParagraph"/>
        <w:numPr>
          <w:ilvl w:val="0"/>
          <w:numId w:val="2"/>
        </w:numPr>
        <w:spacing w:after="60"/>
      </w:pPr>
      <w:r>
        <w:t>One order record is created per beneficiary within that batch, each with a Titan-generated order ID and order details.</w:t>
      </w:r>
    </w:p>
    <w:p w14:paraId="47BF7672" w14:textId="77777777" w:rsidR="007505A5" w:rsidRDefault="00000000">
      <w:pPr>
        <w:pStyle w:val="ListParagraph"/>
        <w:numPr>
          <w:ilvl w:val="0"/>
          <w:numId w:val="2"/>
        </w:numPr>
        <w:spacing w:after="60"/>
      </w:pPr>
      <w:r>
        <w:t>The order is the beneficiary record itself: one object, whose status mirrors the Sequel delivery status directly.</w:t>
      </w:r>
    </w:p>
    <w:p w14:paraId="172FC6BD" w14:textId="77777777" w:rsidR="007505A5" w:rsidRDefault="00000000">
      <w:pPr>
        <w:pStyle w:val="ListParagraph"/>
        <w:numPr>
          <w:ilvl w:val="0"/>
          <w:numId w:val="2"/>
        </w:numPr>
        <w:spacing w:after="60"/>
      </w:pPr>
      <w:r>
        <w:t>A billing address (TN Govt) is captured on each order for structured process consistency only — no connection to Titan's OMS or any pricing system.</w:t>
      </w:r>
    </w:p>
    <w:p w14:paraId="1EE7F38A" w14:textId="77777777" w:rsidR="007505A5" w:rsidRDefault="00000000">
      <w:pPr>
        <w:pStyle w:val="ListParagraph"/>
        <w:numPr>
          <w:ilvl w:val="0"/>
          <w:numId w:val="2"/>
        </w:numPr>
        <w:spacing w:after="60"/>
      </w:pPr>
      <w:r>
        <w:t>Titan's platform does not track physical inventory itself — stock allocation is handled by Oracle (2.5), not visible as an inventory ledger within this platform.</w:t>
      </w:r>
    </w:p>
    <w:p w14:paraId="4376B56C" w14:textId="77777777" w:rsidR="007505A5" w:rsidRDefault="00000000">
      <w:pPr>
        <w:pStyle w:val="Heading2"/>
        <w:spacing w:before="220" w:after="100"/>
      </w:pPr>
      <w:r>
        <w:rPr>
          <w:b/>
          <w:bCs/>
          <w:color w:val="1E2761"/>
          <w:sz w:val="24"/>
          <w:szCs w:val="24"/>
        </w:rPr>
        <w:t>2.5 Stock allocation via Oracle</w:t>
      </w:r>
    </w:p>
    <w:p w14:paraId="3C1AC43B" w14:textId="77777777" w:rsidR="007505A5" w:rsidRDefault="00000000">
      <w:pPr>
        <w:spacing w:after="120"/>
      </w:pPr>
      <w:r>
        <w:t>After orders are created, Titan sends the total coin quantity required for the batch to Oracle — an aggregate number only, with no beneficiary-level data included. Oracle allocates the quantity from existing stock; if insufficient, from boutique replenishment stock; if still insufficient, by manufacturing the shortfall, which can take 1–2 days. Once allocated, Oracle assigns the coin stock to Sequel.</w:t>
      </w:r>
    </w:p>
    <w:p w14:paraId="69E6D6A9" w14:textId="54CCFF13" w:rsidR="007505A5" w:rsidRDefault="00000000">
      <w:pPr>
        <w:spacing w:after="120"/>
      </w:pPr>
      <w:r>
        <w:t xml:space="preserve">This runs independently of the Sequel handoff in 2.6 — Titan does not wait for Oracle's allocation to complete before sending beneficiary details to Sequel. Coin availability is guaranteed </w:t>
      </w:r>
      <w:r w:rsidR="00E1278F">
        <w:t xml:space="preserve">(confirmed by CBG &amp; factory team) and </w:t>
      </w:r>
      <w:r>
        <w:t>as part of Oracle's process, so the platform proceeds on that basis rather than gating on a confirmation signal.</w:t>
      </w:r>
    </w:p>
    <w:p w14:paraId="57C5F952" w14:textId="77777777" w:rsidR="007505A5" w:rsidRDefault="00000000">
      <w:pPr>
        <w:spacing w:after="160"/>
      </w:pPr>
      <w:r>
        <w:rPr>
          <w:i/>
          <w:iCs/>
          <w:color w:val="5F5E5A"/>
        </w:rPr>
        <w:t xml:space="preserve">The 7-day/14-day SLA was originally set with this potential manufacturing step already factored in — no separate SLA adjustment is required. </w:t>
      </w:r>
      <w:r w:rsidRPr="00E1278F">
        <w:rPr>
          <w:i/>
          <w:iCs/>
          <w:color w:val="C00000"/>
        </w:rPr>
        <w:t>No visibility into this stage (e.g. an “allocating” or “manufacturing” status) is required on the platform for now.</w:t>
      </w:r>
    </w:p>
    <w:p w14:paraId="60FA9627" w14:textId="77777777" w:rsidR="007505A5" w:rsidRDefault="00000000">
      <w:pPr>
        <w:pStyle w:val="Heading2"/>
        <w:spacing w:before="220" w:after="100"/>
      </w:pPr>
      <w:r>
        <w:rPr>
          <w:b/>
          <w:bCs/>
          <w:color w:val="1E2761"/>
          <w:sz w:val="24"/>
          <w:szCs w:val="24"/>
        </w:rPr>
        <w:t>2.6 Handoff to Sequel</w:t>
      </w:r>
    </w:p>
    <w:p w14:paraId="085F4E6E" w14:textId="77777777" w:rsidR="007505A5" w:rsidRDefault="00000000">
      <w:pPr>
        <w:spacing w:after="120"/>
      </w:pPr>
      <w:r>
        <w:t>Once orders are created, Titan sends the full beneficiary list to Sequel via API/webhook — regardless of Oracle's allocation status, in parallel with 2.5, not gated on it. Sequel owns coordination and delivery from this point: outbound calling, travel, 3-step verification, proof of delivery, and handover. Delivery is re-attempted up to 2 times as standard, with a 3rd attempt permitted under special circumstances.</w:t>
      </w:r>
    </w:p>
    <w:p w14:paraId="4B5099E4" w14:textId="77777777" w:rsidR="007505A5" w:rsidRDefault="00000000">
      <w:pPr>
        <w:pStyle w:val="Heading2"/>
        <w:spacing w:before="220" w:after="100"/>
      </w:pPr>
      <w:r>
        <w:rPr>
          <w:b/>
          <w:bCs/>
          <w:color w:val="1E2761"/>
          <w:sz w:val="24"/>
          <w:szCs w:val="24"/>
        </w:rPr>
        <w:t>2.7 Packing &amp; AWB</w:t>
      </w:r>
    </w:p>
    <w:p w14:paraId="6E2CA80D" w14:textId="77777777" w:rsidR="007505A5" w:rsidRDefault="00000000">
      <w:pPr>
        <w:spacing w:after="120"/>
      </w:pPr>
      <w:r>
        <w:t>Once Oracle assigns the allocated coin stock to Sequel, packing is carried out jointly by Titan and Sequel at the base location. The coin serial number is scanned and stored digitally by Sequel at this stage — but it is not yet tagged to any beneficiary. That link is created later, at the point of delivery (Section 2.11). Sequel generates an AWB per order and shares it with Titan, which stores it against the corresponding beneficiary.</w:t>
      </w:r>
    </w:p>
    <w:p w14:paraId="4237EDF6" w14:textId="77777777" w:rsidR="007505A5" w:rsidRDefault="00000000">
      <w:pPr>
        <w:spacing w:after="160"/>
      </w:pPr>
      <w:r>
        <w:rPr>
          <w:i/>
          <w:iCs/>
          <w:color w:val="5F5E5A"/>
        </w:rPr>
        <w:t>Titan's platform does not perform or track any part of the physical pick-pack process itself — only the AWB and serial data that Sequel shares afterward. See Section 7.</w:t>
      </w:r>
    </w:p>
    <w:p w14:paraId="76B0DE24" w14:textId="77777777" w:rsidR="007505A5" w:rsidRDefault="00000000">
      <w:pPr>
        <w:pStyle w:val="Heading2"/>
        <w:spacing w:before="220" w:after="100"/>
      </w:pPr>
      <w:r>
        <w:rPr>
          <w:b/>
          <w:bCs/>
          <w:color w:val="1E2761"/>
          <w:sz w:val="24"/>
          <w:szCs w:val="24"/>
        </w:rPr>
        <w:t>2.8 Shipping &amp; delivery coordination</w:t>
      </w:r>
    </w:p>
    <w:p w14:paraId="7A46FADE" w14:textId="77777777" w:rsidR="007505A5" w:rsidRDefault="00000000">
      <w:pPr>
        <w:spacing w:after="120"/>
      </w:pPr>
      <w:r>
        <w:t>Sequel ships the packed coins to the relevant delivery hub, then begins delivery by calling the beneficiary to confirm availability.</w:t>
      </w:r>
    </w:p>
    <w:p w14:paraId="10131727" w14:textId="77777777" w:rsidR="007505A5" w:rsidRDefault="00000000">
      <w:pPr>
        <w:pStyle w:val="Heading2"/>
        <w:spacing w:before="220" w:after="100"/>
      </w:pPr>
      <w:r>
        <w:rPr>
          <w:b/>
          <w:bCs/>
          <w:color w:val="1E2761"/>
          <w:sz w:val="24"/>
          <w:szCs w:val="24"/>
        </w:rPr>
        <w:t>2.9 Reschedule handling</w:t>
      </w:r>
    </w:p>
    <w:p w14:paraId="476BFA6D" w14:textId="77777777" w:rsidR="007505A5" w:rsidRDefault="00000000">
      <w:pPr>
        <w:spacing w:after="120"/>
      </w:pPr>
      <w:r>
        <w:t>A delivery date can be rescheduled in two situations: the beneficiary is unavailable on the originally planned date during the availability call, or something prevents completion during an actual delivery attempt. In both cases, the platform shows the new delivery date, a “Rescheduled” tag, and the reason. A rescheduled delivery is no longer measured against the original SLA window.</w:t>
      </w:r>
    </w:p>
    <w:p w14:paraId="1472F779" w14:textId="77777777" w:rsidR="007505A5" w:rsidRDefault="00000000">
      <w:pPr>
        <w:spacing w:after="160"/>
      </w:pPr>
      <w:r>
        <w:rPr>
          <w:i/>
          <w:iCs/>
          <w:color w:val="5F5E5A"/>
        </w:rPr>
        <w:lastRenderedPageBreak/>
        <w:t>The fixed set of reschedule reason codes is to be defined and shared by Sequel — see Section 8.</w:t>
      </w:r>
    </w:p>
    <w:p w14:paraId="198CA890" w14:textId="77777777" w:rsidR="007505A5" w:rsidRDefault="00000000">
      <w:pPr>
        <w:pStyle w:val="Heading2"/>
        <w:spacing w:before="220" w:after="100"/>
      </w:pPr>
      <w:r>
        <w:rPr>
          <w:b/>
          <w:bCs/>
          <w:color w:val="1E2761"/>
          <w:sz w:val="24"/>
          <w:szCs w:val="24"/>
        </w:rPr>
        <w:t>2.10 Delivery tracking</w:t>
      </w:r>
    </w:p>
    <w:p w14:paraId="442B5A5A" w14:textId="77777777" w:rsidR="007505A5" w:rsidRDefault="00000000">
      <w:pPr>
        <w:spacing w:after="120"/>
      </w:pPr>
      <w:r>
        <w:t>Sequel pushes status updates to Titan via API whenever a status changes. The status set mirrors Sequel's own tracker: Pickup requested, Pickup accepted and created, Shipment picked up, Shipment reached origin hub, Delivery assistant assigned, Shipment out for delivery, Shipment successfully delivered, Shipment POD uploaded — each with a timestamp.</w:t>
      </w:r>
    </w:p>
    <w:p w14:paraId="4E3617D2" w14:textId="77777777" w:rsidR="007505A5" w:rsidRDefault="00000000">
      <w:pPr>
        <w:spacing w:after="160"/>
      </w:pPr>
      <w:r>
        <w:rPr>
          <w:i/>
          <w:iCs/>
          <w:color w:val="5F5E5A"/>
        </w:rPr>
        <w:t>This covers the successful path only. Failure/exception statuses, and the full set of final end-states, are not yet defined — see Section 8.</w:t>
      </w:r>
    </w:p>
    <w:p w14:paraId="0C3CA710" w14:textId="77777777" w:rsidR="007505A5" w:rsidRDefault="00000000">
      <w:pPr>
        <w:pStyle w:val="Heading2"/>
        <w:spacing w:before="220" w:after="100"/>
      </w:pPr>
      <w:r>
        <w:rPr>
          <w:b/>
          <w:bCs/>
          <w:color w:val="1E2761"/>
          <w:sz w:val="24"/>
          <w:szCs w:val="24"/>
        </w:rPr>
        <w:t>2.11 3-step verification</w:t>
      </w:r>
    </w:p>
    <w:p w14:paraId="0DE1C724" w14:textId="77777777" w:rsidR="007505A5" w:rsidRDefault="00000000">
      <w:pPr>
        <w:spacing w:after="120"/>
      </w:pPr>
      <w:r>
        <w:t>At the point of delivery, Sequel carries out 3-step verification: last 4 digits of Aadhaar, mobile OTP, and unique/voucher code match. The platform shows the pass/fail result of each step individually.</w:t>
      </w:r>
    </w:p>
    <w:p w14:paraId="29A157A4" w14:textId="77777777" w:rsidR="007505A5" w:rsidRDefault="00000000">
      <w:pPr>
        <w:spacing w:after="160"/>
      </w:pPr>
      <w:r>
        <w:rPr>
          <w:i/>
          <w:iCs/>
          <w:color w:val="5F5E5A"/>
        </w:rPr>
        <w:t>No downstream action is defined yet for a failed verification step, for any of the three checks. This is deliberately left open — see Section 8.</w:t>
      </w:r>
    </w:p>
    <w:p w14:paraId="2DAC04D2" w14:textId="77777777" w:rsidR="007505A5" w:rsidRDefault="00000000">
      <w:pPr>
        <w:pStyle w:val="Heading2"/>
        <w:spacing w:before="220" w:after="100"/>
      </w:pPr>
      <w:r>
        <w:rPr>
          <w:b/>
          <w:bCs/>
          <w:color w:val="1E2761"/>
          <w:sz w:val="24"/>
          <w:szCs w:val="24"/>
        </w:rPr>
        <w:t>2.12 Proof-of-delivery data</w:t>
      </w:r>
    </w:p>
    <w:p w14:paraId="3B41C8C0" w14:textId="77777777" w:rsidR="007505A5" w:rsidRDefault="00000000">
      <w:pPr>
        <w:spacing w:after="120"/>
      </w:pPr>
      <w:r>
        <w:t>On successful verification, the coin serial is tagged to the beneficiary — this is the point at which the serial-to-beneficiary link is created. Sequel also captures and transmits, via API:</w:t>
      </w:r>
    </w:p>
    <w:p w14:paraId="65BF4D22" w14:textId="77777777" w:rsidR="007505A5" w:rsidRDefault="00000000">
      <w:pPr>
        <w:pStyle w:val="ListParagraph"/>
        <w:numPr>
          <w:ilvl w:val="0"/>
          <w:numId w:val="2"/>
        </w:numPr>
        <w:spacing w:after="60"/>
      </w:pPr>
      <w:r>
        <w:t>Signature of the beneficiary</w:t>
      </w:r>
    </w:p>
    <w:p w14:paraId="76FEF3F4" w14:textId="77777777" w:rsidR="007505A5" w:rsidRDefault="00000000">
      <w:pPr>
        <w:pStyle w:val="ListParagraph"/>
        <w:numPr>
          <w:ilvl w:val="0"/>
          <w:numId w:val="2"/>
        </w:numPr>
        <w:spacing w:after="60"/>
      </w:pPr>
      <w:r>
        <w:t>Photo of the beneficiary holding the gold coin</w:t>
      </w:r>
    </w:p>
    <w:p w14:paraId="2DE1D958" w14:textId="77777777" w:rsidR="007505A5" w:rsidRDefault="00000000">
      <w:pPr>
        <w:pStyle w:val="ListParagraph"/>
        <w:numPr>
          <w:ilvl w:val="0"/>
          <w:numId w:val="2"/>
        </w:numPr>
        <w:spacing w:after="60"/>
      </w:pPr>
      <w:r>
        <w:t>GPS / geofence tag of the delivery location</w:t>
      </w:r>
    </w:p>
    <w:p w14:paraId="4C5BC8A1" w14:textId="77777777" w:rsidR="007505A5" w:rsidRDefault="00000000">
      <w:pPr>
        <w:pStyle w:val="ListParagraph"/>
        <w:numPr>
          <w:ilvl w:val="0"/>
          <w:numId w:val="2"/>
        </w:numPr>
        <w:spacing w:after="60"/>
      </w:pPr>
      <w:r>
        <w:t>Photo of the beneficiary's government ID</w:t>
      </w:r>
    </w:p>
    <w:p w14:paraId="782CA326" w14:textId="77777777" w:rsidR="007505A5" w:rsidRDefault="00000000">
      <w:pPr>
        <w:pStyle w:val="Heading2"/>
        <w:spacing w:before="220" w:after="100"/>
      </w:pPr>
      <w:r>
        <w:rPr>
          <w:b/>
          <w:bCs/>
          <w:color w:val="1E2761"/>
          <w:sz w:val="24"/>
          <w:szCs w:val="24"/>
        </w:rPr>
        <w:t>2.13 SLA clock &amp; notifications</w:t>
      </w:r>
    </w:p>
    <w:p w14:paraId="637BE0C3" w14:textId="77777777" w:rsidR="007505A5" w:rsidRDefault="00000000">
      <w:pPr>
        <w:spacing w:after="120"/>
      </w:pPr>
      <w:r>
        <w:t>The 7-day (accessible areas) or 14-day (remote areas) SLA clock begins on the same day TN Govt uploads the beneficiary file — the upload day counts as Day 1.</w:t>
      </w:r>
    </w:p>
    <w:p w14:paraId="226A91B4" w14:textId="12DD5E6A" w:rsidR="007505A5" w:rsidRDefault="00000000">
      <w:pPr>
        <w:pStyle w:val="ListParagraph"/>
        <w:numPr>
          <w:ilvl w:val="0"/>
          <w:numId w:val="2"/>
        </w:numPr>
        <w:spacing w:after="60"/>
      </w:pPr>
      <w:r>
        <w:t xml:space="preserve">Sequel classifies each beneficiary's </w:t>
      </w:r>
      <w:r w:rsidR="006A3F2F">
        <w:t>Pincode</w:t>
      </w:r>
      <w:r>
        <w:t xml:space="preserve"> as 7-day or 14-day and shares the estimated delivery timeline with Titan's platform.</w:t>
      </w:r>
    </w:p>
    <w:p w14:paraId="6D645957" w14:textId="77777777" w:rsidR="007505A5" w:rsidRDefault="00000000">
      <w:pPr>
        <w:pStyle w:val="ListParagraph"/>
        <w:numPr>
          <w:ilvl w:val="0"/>
          <w:numId w:val="2"/>
        </w:numPr>
        <w:spacing w:after="60"/>
      </w:pPr>
      <w:r>
        <w:t>The platform shows a precise countdown per beneficiary, and a status breakdown (within SLA / at risk / breached) per batch.</w:t>
      </w:r>
    </w:p>
    <w:p w14:paraId="3DC44C3A" w14:textId="77777777" w:rsidR="007505A5" w:rsidRDefault="00000000">
      <w:pPr>
        <w:pStyle w:val="ListParagraph"/>
        <w:numPr>
          <w:ilvl w:val="0"/>
          <w:numId w:val="2"/>
        </w:numPr>
        <w:spacing w:after="60"/>
      </w:pPr>
      <w:r>
        <w:t>When a file is uploaded, the platform emails relevant Titan stakeholders at their Titan email addresses.</w:t>
      </w:r>
    </w:p>
    <w:p w14:paraId="2EAD1D05" w14:textId="77777777" w:rsidR="007505A5" w:rsidRDefault="00000000">
      <w:pPr>
        <w:pStyle w:val="Heading2"/>
        <w:spacing w:before="220" w:after="100"/>
      </w:pPr>
      <w:r>
        <w:rPr>
          <w:b/>
          <w:bCs/>
          <w:color w:val="1E2761"/>
          <w:sz w:val="24"/>
          <w:szCs w:val="24"/>
        </w:rPr>
        <w:t>2.14 Grievance handling</w:t>
      </w:r>
    </w:p>
    <w:p w14:paraId="423F1B63" w14:textId="77777777" w:rsidR="007505A5" w:rsidRDefault="00000000">
      <w:pPr>
        <w:spacing w:after="120"/>
      </w:pPr>
      <w:r>
        <w:t>Sequel owns all beneficiary queries and grievances end-to-end. One case exists per beneficiary. Case details — case ID, category, description, status, resolution outcome, timestamps — are pushed to Titan via API, linked by mobile number or unique code. TN Govt can view grievance cases and outcomes, view-only for now.</w:t>
      </w:r>
    </w:p>
    <w:p w14:paraId="0A0A8540" w14:textId="77777777" w:rsidR="007505A5" w:rsidRDefault="00000000">
      <w:pPr>
        <w:pStyle w:val="Heading2"/>
        <w:spacing w:before="220" w:after="100"/>
      </w:pPr>
      <w:r>
        <w:rPr>
          <w:b/>
          <w:bCs/>
          <w:color w:val="1E2761"/>
          <w:sz w:val="24"/>
          <w:szCs w:val="24"/>
        </w:rPr>
        <w:t>2.15 Contact &amp; helpline directory</w:t>
      </w:r>
    </w:p>
    <w:p w14:paraId="50A6AB63" w14:textId="77777777" w:rsidR="007505A5" w:rsidRDefault="00000000">
      <w:pPr>
        <w:spacing w:after="120"/>
      </w:pPr>
      <w:r>
        <w:t>A static, admin-maintained list of contact numbers is visible within the platform to TN Govt and Titan users — not beneficiary-facing.</w:t>
      </w:r>
    </w:p>
    <w:p w14:paraId="2509C537" w14:textId="77777777" w:rsidR="007505A5" w:rsidRDefault="00000000">
      <w:pPr>
        <w:pStyle w:val="Heading2"/>
        <w:spacing w:before="220" w:after="100"/>
      </w:pPr>
      <w:r>
        <w:rPr>
          <w:b/>
          <w:bCs/>
          <w:color w:val="1E2761"/>
          <w:sz w:val="24"/>
          <w:szCs w:val="24"/>
        </w:rPr>
        <w:t>2.16 Reporting &amp; access</w:t>
      </w:r>
    </w:p>
    <w:p w14:paraId="02DF9711" w14:textId="77777777" w:rsidR="007505A5" w:rsidRDefault="00000000">
      <w:pPr>
        <w:pStyle w:val="ListParagraph"/>
        <w:numPr>
          <w:ilvl w:val="0"/>
          <w:numId w:val="2"/>
        </w:numPr>
        <w:spacing w:after="60"/>
      </w:pPr>
      <w:r>
        <w:t>Titan (CBG Finance + developers) has full view access to all orders, batches, delivery details, tracking, reschedules, grievances, and PoD documents.</w:t>
      </w:r>
    </w:p>
    <w:p w14:paraId="56B3109C" w14:textId="77777777" w:rsidR="007505A5" w:rsidRDefault="00000000">
      <w:pPr>
        <w:pStyle w:val="ListParagraph"/>
        <w:numPr>
          <w:ilvl w:val="0"/>
          <w:numId w:val="2"/>
        </w:numPr>
        <w:spacing w:after="60"/>
      </w:pPr>
      <w:r>
        <w:t>TN Govt has view, export, and print access to the same information, including which specific verification step failed, and full batch/upload history — no edit access.</w:t>
      </w:r>
    </w:p>
    <w:p w14:paraId="2E911BAC" w14:textId="77777777" w:rsidR="007505A5" w:rsidRDefault="00000000">
      <w:pPr>
        <w:pStyle w:val="ListParagraph"/>
        <w:numPr>
          <w:ilvl w:val="0"/>
          <w:numId w:val="2"/>
        </w:numPr>
        <w:spacing w:after="60"/>
      </w:pPr>
      <w:r>
        <w:t>Sequel has no login or view access into Titan's platform — interaction is via API only.</w:t>
      </w:r>
    </w:p>
    <w:p w14:paraId="0FDF6EA7" w14:textId="77777777" w:rsidR="007505A5" w:rsidRDefault="00000000">
      <w:pPr>
        <w:pStyle w:val="Heading1"/>
        <w:spacing w:before="320" w:after="150"/>
      </w:pPr>
      <w:r>
        <w:rPr>
          <w:b/>
          <w:bCs/>
          <w:color w:val="1E2761"/>
        </w:rPr>
        <w:lastRenderedPageBreak/>
        <w:t>3. Roles &amp; access 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gridCol w:w="2400"/>
      </w:tblGrid>
      <w:tr w:rsidR="007505A5" w14:paraId="1BC10424" w14:textId="77777777">
        <w:tblPrEx>
          <w:tblCellMar>
            <w:top w:w="0" w:type="dxa"/>
            <w:bottom w:w="0" w:type="dxa"/>
          </w:tblCellMar>
        </w:tblPrEx>
        <w:trPr>
          <w:tblHeader/>
        </w:trPr>
        <w:tc>
          <w:tcPr>
            <w:tcW w:w="2600" w:type="dxa"/>
            <w:shd w:val="clear" w:color="auto" w:fill="1E2761"/>
            <w:tcMar>
              <w:top w:w="80" w:type="dxa"/>
              <w:left w:w="100" w:type="dxa"/>
              <w:bottom w:w="80" w:type="dxa"/>
              <w:right w:w="100" w:type="dxa"/>
            </w:tcMar>
          </w:tcPr>
          <w:p w14:paraId="09A4B5FE" w14:textId="77777777" w:rsidR="007505A5" w:rsidRDefault="00000000">
            <w:r>
              <w:rPr>
                <w:b/>
                <w:bCs/>
                <w:color w:val="FFFFFF"/>
              </w:rPr>
              <w:t>Actor</w:t>
            </w:r>
          </w:p>
        </w:tc>
        <w:tc>
          <w:tcPr>
            <w:tcW w:w="4600" w:type="dxa"/>
            <w:shd w:val="clear" w:color="auto" w:fill="1E2761"/>
            <w:tcMar>
              <w:top w:w="80" w:type="dxa"/>
              <w:left w:w="100" w:type="dxa"/>
              <w:bottom w:w="80" w:type="dxa"/>
              <w:right w:w="100" w:type="dxa"/>
            </w:tcMar>
          </w:tcPr>
          <w:p w14:paraId="0EE68307" w14:textId="77777777" w:rsidR="007505A5" w:rsidRDefault="00000000">
            <w:r>
              <w:rPr>
                <w:b/>
                <w:bCs/>
                <w:color w:val="FFFFFF"/>
              </w:rPr>
              <w:t>Access</w:t>
            </w:r>
          </w:p>
        </w:tc>
        <w:tc>
          <w:tcPr>
            <w:tcW w:w="2400" w:type="dxa"/>
            <w:shd w:val="clear" w:color="auto" w:fill="1E2761"/>
            <w:tcMar>
              <w:top w:w="80" w:type="dxa"/>
              <w:left w:w="100" w:type="dxa"/>
              <w:bottom w:w="80" w:type="dxa"/>
              <w:right w:w="100" w:type="dxa"/>
            </w:tcMar>
          </w:tcPr>
          <w:p w14:paraId="3C3D6E66" w14:textId="77777777" w:rsidR="007505A5" w:rsidRDefault="00000000">
            <w:r>
              <w:rPr>
                <w:b/>
                <w:bCs/>
                <w:color w:val="FFFFFF"/>
              </w:rPr>
              <w:t>Can edit?</w:t>
            </w:r>
          </w:p>
        </w:tc>
      </w:tr>
      <w:tr w:rsidR="007505A5" w14:paraId="5514BB71" w14:textId="77777777">
        <w:tblPrEx>
          <w:tblCellMar>
            <w:top w:w="0" w:type="dxa"/>
            <w:bottom w:w="0" w:type="dxa"/>
          </w:tblCellMar>
        </w:tblPrEx>
        <w:tc>
          <w:tcPr>
            <w:tcW w:w="2600" w:type="dxa"/>
            <w:tcMar>
              <w:top w:w="80" w:type="dxa"/>
              <w:left w:w="100" w:type="dxa"/>
              <w:bottom w:w="80" w:type="dxa"/>
              <w:right w:w="100" w:type="dxa"/>
            </w:tcMar>
          </w:tcPr>
          <w:p w14:paraId="56C89EAF" w14:textId="77777777" w:rsidR="007505A5" w:rsidRDefault="00000000">
            <w:r>
              <w:rPr>
                <w:color w:val="000000"/>
              </w:rPr>
              <w:t>TN Govt</w:t>
            </w:r>
          </w:p>
        </w:tc>
        <w:tc>
          <w:tcPr>
            <w:tcW w:w="4600" w:type="dxa"/>
            <w:tcMar>
              <w:top w:w="80" w:type="dxa"/>
              <w:left w:w="100" w:type="dxa"/>
              <w:bottom w:w="80" w:type="dxa"/>
              <w:right w:w="100" w:type="dxa"/>
            </w:tcMar>
          </w:tcPr>
          <w:p w14:paraId="697C95F5" w14:textId="77777777" w:rsidR="007505A5" w:rsidRDefault="00000000">
            <w:r>
              <w:rPr>
                <w:color w:val="000000"/>
              </w:rPr>
              <w:t>View, export, print — delivery status, failed-step detail, reschedules, grievance outcomes, PoD documents, full batch history</w:t>
            </w:r>
          </w:p>
        </w:tc>
        <w:tc>
          <w:tcPr>
            <w:tcW w:w="2400" w:type="dxa"/>
            <w:tcMar>
              <w:top w:w="80" w:type="dxa"/>
              <w:left w:w="100" w:type="dxa"/>
              <w:bottom w:w="80" w:type="dxa"/>
              <w:right w:w="100" w:type="dxa"/>
            </w:tcMar>
          </w:tcPr>
          <w:p w14:paraId="6B91D7E7" w14:textId="77777777" w:rsidR="007505A5" w:rsidRDefault="00000000">
            <w:r>
              <w:rPr>
                <w:color w:val="000000"/>
              </w:rPr>
              <w:t>No</w:t>
            </w:r>
          </w:p>
        </w:tc>
      </w:tr>
      <w:tr w:rsidR="007505A5" w14:paraId="5594FE72" w14:textId="77777777">
        <w:tblPrEx>
          <w:tblCellMar>
            <w:top w:w="0" w:type="dxa"/>
            <w:bottom w:w="0" w:type="dxa"/>
          </w:tblCellMar>
        </w:tblPrEx>
        <w:tc>
          <w:tcPr>
            <w:tcW w:w="2600" w:type="dxa"/>
            <w:shd w:val="clear" w:color="auto" w:fill="F2F2F2"/>
            <w:tcMar>
              <w:top w:w="80" w:type="dxa"/>
              <w:left w:w="100" w:type="dxa"/>
              <w:bottom w:w="80" w:type="dxa"/>
              <w:right w:w="100" w:type="dxa"/>
            </w:tcMar>
          </w:tcPr>
          <w:p w14:paraId="1767C7ED" w14:textId="77777777" w:rsidR="007505A5" w:rsidRDefault="00000000">
            <w:r>
              <w:rPr>
                <w:color w:val="000000"/>
              </w:rPr>
              <w:t>Titan (CBG Finance + developers)</w:t>
            </w:r>
          </w:p>
        </w:tc>
        <w:tc>
          <w:tcPr>
            <w:tcW w:w="4600" w:type="dxa"/>
            <w:shd w:val="clear" w:color="auto" w:fill="F2F2F2"/>
            <w:tcMar>
              <w:top w:w="80" w:type="dxa"/>
              <w:left w:w="100" w:type="dxa"/>
              <w:bottom w:w="80" w:type="dxa"/>
              <w:right w:w="100" w:type="dxa"/>
            </w:tcMar>
          </w:tcPr>
          <w:p w14:paraId="036D9BD4" w14:textId="77777777" w:rsidR="007505A5" w:rsidRDefault="00000000">
            <w:r>
              <w:rPr>
                <w:color w:val="000000"/>
              </w:rPr>
              <w:t>Full view access — all orders, batches, delivery details, tracking, reschedules, grievances, PoD, reports</w:t>
            </w:r>
          </w:p>
        </w:tc>
        <w:tc>
          <w:tcPr>
            <w:tcW w:w="2400" w:type="dxa"/>
            <w:shd w:val="clear" w:color="auto" w:fill="F2F2F2"/>
            <w:tcMar>
              <w:top w:w="80" w:type="dxa"/>
              <w:left w:w="100" w:type="dxa"/>
              <w:bottom w:w="80" w:type="dxa"/>
              <w:right w:w="100" w:type="dxa"/>
            </w:tcMar>
          </w:tcPr>
          <w:p w14:paraId="1EFFC77E" w14:textId="77777777" w:rsidR="007505A5" w:rsidRDefault="00000000">
            <w:r>
              <w:rPr>
                <w:color w:val="000000"/>
              </w:rPr>
              <w:t>Platform administration only</w:t>
            </w:r>
          </w:p>
        </w:tc>
      </w:tr>
      <w:tr w:rsidR="007505A5" w14:paraId="7C4C2CA6" w14:textId="77777777">
        <w:tblPrEx>
          <w:tblCellMar>
            <w:top w:w="0" w:type="dxa"/>
            <w:bottom w:w="0" w:type="dxa"/>
          </w:tblCellMar>
        </w:tblPrEx>
        <w:tc>
          <w:tcPr>
            <w:tcW w:w="2600" w:type="dxa"/>
            <w:tcMar>
              <w:top w:w="80" w:type="dxa"/>
              <w:left w:w="100" w:type="dxa"/>
              <w:bottom w:w="80" w:type="dxa"/>
              <w:right w:w="100" w:type="dxa"/>
            </w:tcMar>
          </w:tcPr>
          <w:p w14:paraId="4FF234CE" w14:textId="77777777" w:rsidR="007505A5" w:rsidRDefault="00000000">
            <w:r>
              <w:rPr>
                <w:color w:val="000000"/>
              </w:rPr>
              <w:t>Sequel</w:t>
            </w:r>
          </w:p>
        </w:tc>
        <w:tc>
          <w:tcPr>
            <w:tcW w:w="4600" w:type="dxa"/>
            <w:tcMar>
              <w:top w:w="80" w:type="dxa"/>
              <w:left w:w="100" w:type="dxa"/>
              <w:bottom w:w="80" w:type="dxa"/>
              <w:right w:w="100" w:type="dxa"/>
            </w:tcMar>
          </w:tcPr>
          <w:p w14:paraId="19E09110" w14:textId="77777777" w:rsidR="007505A5" w:rsidRDefault="00000000">
            <w:r>
              <w:rPr>
                <w:color w:val="000000"/>
              </w:rPr>
              <w:t>No platform access — sends and receives data via API only</w:t>
            </w:r>
          </w:p>
        </w:tc>
        <w:tc>
          <w:tcPr>
            <w:tcW w:w="2400" w:type="dxa"/>
            <w:tcMar>
              <w:top w:w="80" w:type="dxa"/>
              <w:left w:w="100" w:type="dxa"/>
              <w:bottom w:w="80" w:type="dxa"/>
              <w:right w:w="100" w:type="dxa"/>
            </w:tcMar>
          </w:tcPr>
          <w:p w14:paraId="5729DE90" w14:textId="77777777" w:rsidR="007505A5" w:rsidRDefault="00000000">
            <w:r>
              <w:rPr>
                <w:color w:val="000000"/>
              </w:rPr>
              <w:t>N/A</w:t>
            </w:r>
          </w:p>
        </w:tc>
      </w:tr>
    </w:tbl>
    <w:p w14:paraId="1159E38E" w14:textId="77777777" w:rsidR="007505A5" w:rsidRDefault="00000000">
      <w:pPr>
        <w:pStyle w:val="Heading1"/>
        <w:spacing w:before="320" w:after="150"/>
      </w:pPr>
      <w:r>
        <w:rPr>
          <w:b/>
          <w:bCs/>
          <w:color w:val="1E2761"/>
        </w:rPr>
        <w:t>4. Data flow summary</w:t>
      </w:r>
    </w:p>
    <w:p w14:paraId="407B6CD1" w14:textId="77777777" w:rsidR="007505A5" w:rsidRDefault="00000000">
      <w:pPr>
        <w:pStyle w:val="ListParagraph"/>
        <w:numPr>
          <w:ilvl w:val="0"/>
          <w:numId w:val="2"/>
        </w:numPr>
        <w:spacing w:after="60"/>
      </w:pPr>
      <w:r>
        <w:t>TN Govt → Titan: beneficiary list, uploaded and validated per batch, then explicitly confirmed.</w:t>
      </w:r>
    </w:p>
    <w:p w14:paraId="5A0A6A89" w14:textId="77777777" w:rsidR="007505A5" w:rsidRDefault="00000000">
      <w:pPr>
        <w:pStyle w:val="ListParagraph"/>
        <w:numPr>
          <w:ilvl w:val="0"/>
          <w:numId w:val="2"/>
        </w:numPr>
        <w:spacing w:after="60"/>
      </w:pPr>
      <w:r>
        <w:t>Titan → Oracle and Titan → Sequel happen in parallel, both triggered once orders are created: aggregate coin quantity to Oracle, full beneficiary/order list to Sequel.</w:t>
      </w:r>
    </w:p>
    <w:p w14:paraId="5CA5F717" w14:textId="77777777" w:rsidR="007505A5" w:rsidRDefault="00000000">
      <w:pPr>
        <w:pStyle w:val="ListParagraph"/>
        <w:numPr>
          <w:ilvl w:val="0"/>
          <w:numId w:val="2"/>
        </w:numPr>
        <w:spacing w:after="60"/>
      </w:pPr>
      <w:r>
        <w:t>Oracle → Sequel: allocated coin stock, assigned once available — packing (2.7) waits for this, but the beneficiary handoff above does not.</w:t>
      </w:r>
    </w:p>
    <w:p w14:paraId="660507B8" w14:textId="2B3A3FF4" w:rsidR="007505A5" w:rsidRDefault="00000000">
      <w:pPr>
        <w:pStyle w:val="ListParagraph"/>
        <w:numPr>
          <w:ilvl w:val="0"/>
          <w:numId w:val="2"/>
        </w:numPr>
        <w:spacing w:after="60"/>
      </w:pPr>
      <w:r>
        <w:t xml:space="preserve">Sequel → Titan: AWB per order, delivery status events, </w:t>
      </w:r>
      <w:r w:rsidR="006A3F2F">
        <w:t>Pincode</w:t>
      </w:r>
      <w:r>
        <w:t xml:space="preserve"> SLA classification, reschedule events, grievance case data, coin serial + tagging, PoD documents.</w:t>
      </w:r>
    </w:p>
    <w:p w14:paraId="6A05F9EE" w14:textId="77777777" w:rsidR="007505A5" w:rsidRDefault="00000000">
      <w:pPr>
        <w:pStyle w:val="ListParagraph"/>
        <w:numPr>
          <w:ilvl w:val="0"/>
          <w:numId w:val="2"/>
        </w:numPr>
        <w:spacing w:after="60"/>
      </w:pPr>
      <w:r>
        <w:t>Titan → TN Govt: view/export/print access to all of the above.</w:t>
      </w:r>
    </w:p>
    <w:p w14:paraId="0252025F" w14:textId="77777777" w:rsidR="007505A5" w:rsidRDefault="00000000">
      <w:pPr>
        <w:spacing w:after="160"/>
      </w:pPr>
      <w:r>
        <w:rPr>
          <w:i/>
          <w:iCs/>
          <w:color w:val="5F5E5A"/>
        </w:rPr>
        <w:t>Titan's platform is the sole system of record. TN Govt and Sequel do not interact directly.</w:t>
      </w:r>
    </w:p>
    <w:p w14:paraId="1F31A100" w14:textId="77777777" w:rsidR="007505A5" w:rsidRDefault="00000000">
      <w:pPr>
        <w:pStyle w:val="Heading1"/>
        <w:spacing w:before="320" w:after="150"/>
      </w:pPr>
      <w:r>
        <w:rPr>
          <w:b/>
          <w:bCs/>
          <w:color w:val="1E2761"/>
        </w:rPr>
        <w:t>5. Assumptions</w:t>
      </w:r>
    </w:p>
    <w:p w14:paraId="4DFA301A" w14:textId="77777777" w:rsidR="007505A5" w:rsidRDefault="00000000">
      <w:pPr>
        <w:pStyle w:val="ListParagraph"/>
        <w:numPr>
          <w:ilvl w:val="0"/>
          <w:numId w:val="2"/>
        </w:numPr>
        <w:spacing w:after="60"/>
      </w:pPr>
      <w:r>
        <w:t>Gold coin availability is guaranteed via Oracle's allocation process (existing stock, then boutique replenishment, then manufacture within 1–2 days if needed). The 7-day/14-day SLA already factors in this potential manufacturing step — no separate timing adjustment applies.</w:t>
      </w:r>
    </w:p>
    <w:p w14:paraId="121441A5" w14:textId="77777777" w:rsidR="007505A5" w:rsidRDefault="00000000">
      <w:pPr>
        <w:pStyle w:val="ListParagraph"/>
        <w:numPr>
          <w:ilvl w:val="0"/>
          <w:numId w:val="2"/>
        </w:numPr>
        <w:spacing w:after="60"/>
      </w:pPr>
      <w:r>
        <w:t>Sequel is the confirmed, sole delivery partner for this scheme.</w:t>
      </w:r>
    </w:p>
    <w:p w14:paraId="2E271582" w14:textId="77777777" w:rsidR="007505A5" w:rsidRDefault="00000000">
      <w:pPr>
        <w:pStyle w:val="ListParagraph"/>
        <w:numPr>
          <w:ilvl w:val="0"/>
          <w:numId w:val="2"/>
        </w:numPr>
        <w:spacing w:after="60"/>
      </w:pPr>
      <w:r>
        <w:t>Sequel's API endpoint is reliably available — no retry/SLA-pause handling is required for an outage on their side.</w:t>
      </w:r>
    </w:p>
    <w:p w14:paraId="2C70E967" w14:textId="77777777" w:rsidR="007505A5" w:rsidRDefault="00000000">
      <w:pPr>
        <w:pStyle w:val="ListParagraph"/>
        <w:numPr>
          <w:ilvl w:val="0"/>
          <w:numId w:val="2"/>
        </w:numPr>
        <w:spacing w:after="60"/>
      </w:pPr>
      <w:r>
        <w:t>Sequel accepts every record in a submitted batch as-is — no partial batch rejection occurs.</w:t>
      </w:r>
    </w:p>
    <w:p w14:paraId="02B6F1B5" w14:textId="77777777" w:rsidR="007505A5" w:rsidRDefault="00000000">
      <w:pPr>
        <w:pStyle w:val="ListParagraph"/>
        <w:numPr>
          <w:ilvl w:val="0"/>
          <w:numId w:val="2"/>
        </w:numPr>
        <w:spacing w:after="60"/>
      </w:pPr>
      <w:r>
        <w:t>AWB numbers are always correctly generated and shared, mapped to the right beneficiary, without failure.</w:t>
      </w:r>
    </w:p>
    <w:p w14:paraId="3F6365B3" w14:textId="77777777" w:rsidR="007505A5" w:rsidRDefault="00000000">
      <w:pPr>
        <w:pStyle w:val="ListParagraph"/>
        <w:numPr>
          <w:ilvl w:val="0"/>
          <w:numId w:val="2"/>
        </w:numPr>
        <w:spacing w:after="60"/>
      </w:pPr>
      <w:r>
        <w:t>Shipment loss/damage in transit and hub-level quantity discrepancies are handled entirely by Sequel and Finance operationally — not a platform concern.</w:t>
      </w:r>
    </w:p>
    <w:p w14:paraId="63415FAA" w14:textId="77777777" w:rsidR="007505A5" w:rsidRDefault="00000000">
      <w:pPr>
        <w:pStyle w:val="ListParagraph"/>
        <w:numPr>
          <w:ilvl w:val="0"/>
          <w:numId w:val="2"/>
        </w:numPr>
        <w:spacing w:after="60"/>
      </w:pPr>
      <w:r>
        <w:t>Each order record is the beneficiary record itself — one object, one status lifecycle, mirrored from Sequel's delivery status.</w:t>
      </w:r>
    </w:p>
    <w:p w14:paraId="5DFFF338" w14:textId="77777777" w:rsidR="007505A5" w:rsidRDefault="00000000">
      <w:pPr>
        <w:pStyle w:val="ListParagraph"/>
        <w:numPr>
          <w:ilvl w:val="0"/>
          <w:numId w:val="2"/>
        </w:numPr>
        <w:spacing w:after="60"/>
      </w:pPr>
      <w:r>
        <w:t>Basic field-format validation happens at upload; deeper identity/business validation does not (Section 7).</w:t>
      </w:r>
    </w:p>
    <w:p w14:paraId="3F228BDA" w14:textId="77777777" w:rsidR="007505A5" w:rsidRDefault="00000000">
      <w:pPr>
        <w:pStyle w:val="Heading1"/>
        <w:spacing w:before="320" w:after="150"/>
      </w:pPr>
      <w:r>
        <w:rPr>
          <w:b/>
          <w:bCs/>
          <w:color w:val="1E2761"/>
        </w:rPr>
        <w:t>6. Explicitly considered and not built</w:t>
      </w:r>
    </w:p>
    <w:p w14:paraId="2B5C023D" w14:textId="77777777" w:rsidR="007505A5" w:rsidRDefault="00000000">
      <w:pPr>
        <w:pStyle w:val="ListParagraph"/>
        <w:numPr>
          <w:ilvl w:val="0"/>
          <w:numId w:val="2"/>
        </w:numPr>
        <w:spacing w:after="60"/>
      </w:pPr>
      <w:r>
        <w:t>Sequel read-only audit view into Titan's platform — not required; Sequel's only channel is the API.</w:t>
      </w:r>
    </w:p>
    <w:p w14:paraId="03CEA20D" w14:textId="77777777" w:rsidR="007505A5" w:rsidRDefault="00000000">
      <w:pPr>
        <w:pStyle w:val="ListParagraph"/>
        <w:numPr>
          <w:ilvl w:val="0"/>
          <w:numId w:val="2"/>
        </w:numPr>
        <w:spacing w:after="60"/>
      </w:pPr>
      <w:r>
        <w:t>Commercial order/OMS/pricing integration — the order construct exists for structured process only.</w:t>
      </w:r>
    </w:p>
    <w:p w14:paraId="292B6F91" w14:textId="77777777" w:rsidR="007505A5" w:rsidRDefault="00000000">
      <w:pPr>
        <w:pStyle w:val="ListParagraph"/>
        <w:numPr>
          <w:ilvl w:val="0"/>
          <w:numId w:val="2"/>
        </w:numPr>
        <w:spacing w:after="60"/>
      </w:pPr>
      <w:r>
        <w:t>Oracle financial reconciliation interface files — not required. This is distinct from the aggregate stock-quantity request to Oracle in 2.5, which is a new, separate integration now in scope.</w:t>
      </w:r>
    </w:p>
    <w:p w14:paraId="0263D2EA" w14:textId="77777777" w:rsidR="007505A5" w:rsidRDefault="00000000">
      <w:pPr>
        <w:pStyle w:val="ListParagraph"/>
        <w:numPr>
          <w:ilvl w:val="0"/>
          <w:numId w:val="2"/>
        </w:numPr>
        <w:spacing w:after="60"/>
      </w:pPr>
      <w:r>
        <w:t>Status visibility for the Oracle allocation stage (e.g. “allocating,” “manufacturing in progress”) — not required for now.</w:t>
      </w:r>
    </w:p>
    <w:p w14:paraId="4A9F0830" w14:textId="77777777" w:rsidR="007505A5" w:rsidRDefault="00000000">
      <w:pPr>
        <w:pStyle w:val="ListParagraph"/>
        <w:numPr>
          <w:ilvl w:val="0"/>
          <w:numId w:val="2"/>
        </w:numPr>
        <w:spacing w:after="60"/>
      </w:pPr>
      <w:r>
        <w:lastRenderedPageBreak/>
        <w:t>Beneficiary-facing access of any kind.</w:t>
      </w:r>
    </w:p>
    <w:p w14:paraId="520A0795" w14:textId="77777777" w:rsidR="007505A5" w:rsidRDefault="00000000">
      <w:pPr>
        <w:pStyle w:val="Heading1"/>
        <w:spacing w:before="320" w:after="150"/>
      </w:pPr>
      <w:r>
        <w:rPr>
          <w:b/>
          <w:bCs/>
          <w:color w:val="1E2761"/>
        </w:rPr>
        <w:t>7. Out of scope</w:t>
      </w:r>
    </w:p>
    <w:p w14:paraId="65D1D06B" w14:textId="77777777" w:rsidR="007505A5" w:rsidRDefault="00000000">
      <w:pPr>
        <w:pStyle w:val="ListParagraph"/>
        <w:numPr>
          <w:ilvl w:val="0"/>
          <w:numId w:val="2"/>
        </w:numPr>
        <w:spacing w:after="60"/>
      </w:pPr>
      <w:r>
        <w:t>Identity or business-rule validation of beneficiary data by Titan. Basic format/completeness checks at upload (2.2) are a different thing and are in scope.</w:t>
      </w:r>
    </w:p>
    <w:p w14:paraId="3D358B49" w14:textId="77777777" w:rsidR="007505A5" w:rsidRDefault="00000000">
      <w:pPr>
        <w:pStyle w:val="ListParagraph"/>
        <w:numPr>
          <w:ilvl w:val="0"/>
          <w:numId w:val="2"/>
        </w:numPr>
        <w:spacing w:after="60"/>
      </w:pPr>
      <w:r>
        <w:t>Gold coin stock/inventory visibility or tracking within the platform, beyond the aggregate quantity request to Oracle described in 2.5.</w:t>
      </w:r>
    </w:p>
    <w:p w14:paraId="4A2D575F" w14:textId="77777777" w:rsidR="007505A5" w:rsidRDefault="00000000">
      <w:pPr>
        <w:pStyle w:val="ListParagraph"/>
        <w:numPr>
          <w:ilvl w:val="0"/>
          <w:numId w:val="2"/>
        </w:numPr>
        <w:spacing w:after="60"/>
      </w:pPr>
      <w:r>
        <w:t>Pick-pack workflow execution — Titan's platform does not perform or track packing; it only stores the AWB and serial data Sequel shares afterward (2.7).</w:t>
      </w:r>
    </w:p>
    <w:p w14:paraId="487DA7E9" w14:textId="77777777" w:rsidR="007505A5" w:rsidRDefault="00000000">
      <w:pPr>
        <w:pStyle w:val="ListParagraph"/>
        <w:numPr>
          <w:ilvl w:val="0"/>
          <w:numId w:val="2"/>
        </w:numPr>
        <w:spacing w:after="60"/>
      </w:pPr>
      <w:r>
        <w:t>OMS and pricing integration.</w:t>
      </w:r>
    </w:p>
    <w:p w14:paraId="179F6BAA" w14:textId="77777777" w:rsidR="007505A5" w:rsidRDefault="00000000">
      <w:pPr>
        <w:pStyle w:val="ListParagraph"/>
        <w:numPr>
          <w:ilvl w:val="0"/>
          <w:numId w:val="2"/>
        </w:numPr>
        <w:spacing w:after="60"/>
      </w:pPr>
      <w:r>
        <w:t>Oracle financial reconciliation interface files — see Section 6 for the distinction from the stock-quantity request that is in scope.</w:t>
      </w:r>
    </w:p>
    <w:p w14:paraId="59F22050" w14:textId="77777777" w:rsidR="007505A5" w:rsidRDefault="00000000">
      <w:pPr>
        <w:pStyle w:val="ListParagraph"/>
        <w:numPr>
          <w:ilvl w:val="0"/>
          <w:numId w:val="2"/>
        </w:numPr>
        <w:spacing w:after="60"/>
      </w:pPr>
      <w:r>
        <w:t>Beneficiary-facing delivery tracking or any other beneficiary-facing feature.</w:t>
      </w:r>
    </w:p>
    <w:p w14:paraId="38CE88CF" w14:textId="77777777" w:rsidR="007505A5" w:rsidRDefault="00000000">
      <w:pPr>
        <w:pStyle w:val="ListParagraph"/>
        <w:numPr>
          <w:ilvl w:val="0"/>
          <w:numId w:val="2"/>
        </w:numPr>
        <w:spacing w:after="60"/>
      </w:pPr>
      <w:r>
        <w:t>Sequel access to Titan's platform beyond the API.</w:t>
      </w:r>
    </w:p>
    <w:p w14:paraId="66634EAE" w14:textId="77777777" w:rsidR="007505A5" w:rsidRDefault="00000000">
      <w:pPr>
        <w:pStyle w:val="ListParagraph"/>
        <w:numPr>
          <w:ilvl w:val="0"/>
          <w:numId w:val="2"/>
        </w:numPr>
        <w:spacing w:after="60"/>
      </w:pPr>
      <w:r>
        <w:t>Titan managing or resolving grievances directly — Sequel owns this end-to-end.</w:t>
      </w:r>
    </w:p>
    <w:p w14:paraId="0ACE4F1E" w14:textId="77777777" w:rsidR="007505A5" w:rsidRDefault="00000000">
      <w:pPr>
        <w:pStyle w:val="Heading1"/>
        <w:spacing w:before="320" w:after="150"/>
      </w:pPr>
      <w:r>
        <w:rPr>
          <w:b/>
          <w:bCs/>
          <w:color w:val="1E2761"/>
        </w:rPr>
        <w:t>8. Dependencies &amp; open points</w:t>
      </w:r>
    </w:p>
    <w:p w14:paraId="27BDE693" w14:textId="77777777" w:rsidR="007505A5" w:rsidRDefault="00000000">
      <w:pPr>
        <w:spacing w:after="160"/>
      </w:pPr>
      <w:r>
        <w:rPr>
          <w:i/>
          <w:iCs/>
          <w:color w:val="5F5E5A"/>
        </w:rPr>
        <w:t>Grouped by category, with the owning team and a blank Outcome column to record the answer once confirmed.</w:t>
      </w:r>
    </w:p>
    <w:p w14:paraId="3B43637A" w14:textId="77777777" w:rsidR="007505A5" w:rsidRDefault="00000000">
      <w:pPr>
        <w:pStyle w:val="Heading3"/>
        <w:spacing w:before="200" w:after="90"/>
      </w:pPr>
      <w:r>
        <w:rPr>
          <w:b/>
          <w:bCs/>
          <w:color w:val="1E2761"/>
          <w:sz w:val="21"/>
          <w:szCs w:val="21"/>
        </w:rPr>
        <w:t>8.1 Data &amp; upload</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600"/>
        <w:gridCol w:w="1600"/>
      </w:tblGrid>
      <w:tr w:rsidR="007505A5" w14:paraId="6A3FFD61" w14:textId="77777777">
        <w:tblPrEx>
          <w:tblCellMar>
            <w:top w:w="0" w:type="dxa"/>
            <w:bottom w:w="0" w:type="dxa"/>
          </w:tblCellMar>
        </w:tblPrEx>
        <w:trPr>
          <w:tblHeader/>
        </w:trPr>
        <w:tc>
          <w:tcPr>
            <w:tcW w:w="4400" w:type="dxa"/>
            <w:shd w:val="clear" w:color="auto" w:fill="1E2761"/>
            <w:tcMar>
              <w:top w:w="80" w:type="dxa"/>
              <w:left w:w="100" w:type="dxa"/>
              <w:bottom w:w="80" w:type="dxa"/>
              <w:right w:w="100" w:type="dxa"/>
            </w:tcMar>
          </w:tcPr>
          <w:p w14:paraId="234C2380" w14:textId="77777777" w:rsidR="007505A5" w:rsidRDefault="00000000">
            <w:r>
              <w:rPr>
                <w:b/>
                <w:bCs/>
                <w:color w:val="FFFFFF"/>
              </w:rPr>
              <w:t>Open point</w:t>
            </w:r>
          </w:p>
        </w:tc>
        <w:tc>
          <w:tcPr>
            <w:tcW w:w="2600" w:type="dxa"/>
            <w:shd w:val="clear" w:color="auto" w:fill="1E2761"/>
            <w:tcMar>
              <w:top w:w="80" w:type="dxa"/>
              <w:left w:w="100" w:type="dxa"/>
              <w:bottom w:w="80" w:type="dxa"/>
              <w:right w:w="100" w:type="dxa"/>
            </w:tcMar>
          </w:tcPr>
          <w:p w14:paraId="3AFAB9B8" w14:textId="77777777" w:rsidR="007505A5" w:rsidRDefault="00000000">
            <w:r>
              <w:rPr>
                <w:b/>
                <w:bCs/>
                <w:color w:val="FFFFFF"/>
              </w:rPr>
              <w:t>Team / owner</w:t>
            </w:r>
          </w:p>
        </w:tc>
        <w:tc>
          <w:tcPr>
            <w:tcW w:w="1600" w:type="dxa"/>
            <w:shd w:val="clear" w:color="auto" w:fill="1E2761"/>
            <w:tcMar>
              <w:top w:w="80" w:type="dxa"/>
              <w:left w:w="100" w:type="dxa"/>
              <w:bottom w:w="80" w:type="dxa"/>
              <w:right w:w="100" w:type="dxa"/>
            </w:tcMar>
          </w:tcPr>
          <w:p w14:paraId="3FB3A7FA" w14:textId="77777777" w:rsidR="007505A5" w:rsidRDefault="00000000">
            <w:r>
              <w:rPr>
                <w:b/>
                <w:bCs/>
                <w:color w:val="FFFFFF"/>
              </w:rPr>
              <w:t>Outcome</w:t>
            </w:r>
          </w:p>
        </w:tc>
      </w:tr>
      <w:tr w:rsidR="007505A5" w14:paraId="56E51C3B" w14:textId="77777777">
        <w:tblPrEx>
          <w:tblCellMar>
            <w:top w:w="0" w:type="dxa"/>
            <w:bottom w:w="0" w:type="dxa"/>
          </w:tblCellMar>
        </w:tblPrEx>
        <w:tc>
          <w:tcPr>
            <w:tcW w:w="4400" w:type="dxa"/>
            <w:tcMar>
              <w:top w:w="80" w:type="dxa"/>
              <w:left w:w="100" w:type="dxa"/>
              <w:bottom w:w="80" w:type="dxa"/>
              <w:right w:w="100" w:type="dxa"/>
            </w:tcMar>
          </w:tcPr>
          <w:p w14:paraId="33E87118" w14:textId="77777777" w:rsidR="007505A5" w:rsidRDefault="00000000">
            <w:r>
              <w:rPr>
                <w:color w:val="000000"/>
              </w:rPr>
              <w:t>Exact file format and upload method for the beneficiary list (Excel/CSV/template/API)</w:t>
            </w:r>
          </w:p>
        </w:tc>
        <w:tc>
          <w:tcPr>
            <w:tcW w:w="2600" w:type="dxa"/>
            <w:tcMar>
              <w:top w:w="80" w:type="dxa"/>
              <w:left w:w="100" w:type="dxa"/>
              <w:bottom w:w="80" w:type="dxa"/>
              <w:right w:w="100" w:type="dxa"/>
            </w:tcMar>
          </w:tcPr>
          <w:p w14:paraId="77476D0C" w14:textId="77777777" w:rsidR="007505A5" w:rsidRDefault="00000000">
            <w:r>
              <w:rPr>
                <w:color w:val="000000"/>
              </w:rPr>
              <w:t>Titan + TN Govt</w:t>
            </w:r>
          </w:p>
        </w:tc>
        <w:tc>
          <w:tcPr>
            <w:tcW w:w="1600" w:type="dxa"/>
            <w:tcMar>
              <w:top w:w="80" w:type="dxa"/>
              <w:left w:w="100" w:type="dxa"/>
              <w:bottom w:w="80" w:type="dxa"/>
              <w:right w:w="100" w:type="dxa"/>
            </w:tcMar>
          </w:tcPr>
          <w:p w14:paraId="0A2F6291" w14:textId="77777777" w:rsidR="007505A5" w:rsidRDefault="007505A5"/>
        </w:tc>
      </w:tr>
      <w:tr w:rsidR="007505A5" w14:paraId="68591E6D"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2E78EF2F" w14:textId="77777777" w:rsidR="007505A5" w:rsidRDefault="00000000">
            <w:r>
              <w:rPr>
                <w:color w:val="000000"/>
              </w:rPr>
              <w:t>Precise field-level format rules for validation, beyond the general examples given</w:t>
            </w:r>
          </w:p>
        </w:tc>
        <w:tc>
          <w:tcPr>
            <w:tcW w:w="2600" w:type="dxa"/>
            <w:shd w:val="clear" w:color="auto" w:fill="F2F2F2"/>
            <w:tcMar>
              <w:top w:w="80" w:type="dxa"/>
              <w:left w:w="100" w:type="dxa"/>
              <w:bottom w:w="80" w:type="dxa"/>
              <w:right w:w="100" w:type="dxa"/>
            </w:tcMar>
          </w:tcPr>
          <w:p w14:paraId="707C9931" w14:textId="77777777" w:rsidR="007505A5" w:rsidRDefault="00000000">
            <w:r>
              <w:rPr>
                <w:color w:val="000000"/>
              </w:rPr>
              <w:t>Titan (internal — to supply)</w:t>
            </w:r>
          </w:p>
        </w:tc>
        <w:tc>
          <w:tcPr>
            <w:tcW w:w="1600" w:type="dxa"/>
            <w:shd w:val="clear" w:color="auto" w:fill="F2F2F2"/>
            <w:tcMar>
              <w:top w:w="80" w:type="dxa"/>
              <w:left w:w="100" w:type="dxa"/>
              <w:bottom w:w="80" w:type="dxa"/>
              <w:right w:w="100" w:type="dxa"/>
            </w:tcMar>
          </w:tcPr>
          <w:p w14:paraId="770DD2B3" w14:textId="77777777" w:rsidR="007505A5" w:rsidRDefault="007505A5"/>
        </w:tc>
      </w:tr>
      <w:tr w:rsidR="007505A5" w14:paraId="6611AEF8" w14:textId="77777777">
        <w:tblPrEx>
          <w:tblCellMar>
            <w:top w:w="0" w:type="dxa"/>
            <w:bottom w:w="0" w:type="dxa"/>
          </w:tblCellMar>
        </w:tblPrEx>
        <w:tc>
          <w:tcPr>
            <w:tcW w:w="4400" w:type="dxa"/>
            <w:tcMar>
              <w:top w:w="80" w:type="dxa"/>
              <w:left w:w="100" w:type="dxa"/>
              <w:bottom w:w="80" w:type="dxa"/>
              <w:right w:w="100" w:type="dxa"/>
            </w:tcMar>
          </w:tcPr>
          <w:p w14:paraId="3DF1301D" w14:textId="77777777" w:rsidR="007505A5" w:rsidRDefault="00000000">
            <w:r>
              <w:rPr>
                <w:color w:val="000000"/>
              </w:rPr>
              <w:t>Whether TN Govt can exclude one flagged beneficiary and proceed with the rest of a batch, or the batch must be fully clean</w:t>
            </w:r>
          </w:p>
        </w:tc>
        <w:tc>
          <w:tcPr>
            <w:tcW w:w="2600" w:type="dxa"/>
            <w:tcMar>
              <w:top w:w="80" w:type="dxa"/>
              <w:left w:w="100" w:type="dxa"/>
              <w:bottom w:w="80" w:type="dxa"/>
              <w:right w:w="100" w:type="dxa"/>
            </w:tcMar>
          </w:tcPr>
          <w:p w14:paraId="68CF8D51" w14:textId="77777777" w:rsidR="007505A5" w:rsidRDefault="00000000">
            <w:r>
              <w:rPr>
                <w:color w:val="000000"/>
              </w:rPr>
              <w:t>CBG Finance (to check with TN Govt)</w:t>
            </w:r>
          </w:p>
        </w:tc>
        <w:tc>
          <w:tcPr>
            <w:tcW w:w="1600" w:type="dxa"/>
            <w:tcMar>
              <w:top w:w="80" w:type="dxa"/>
              <w:left w:w="100" w:type="dxa"/>
              <w:bottom w:w="80" w:type="dxa"/>
              <w:right w:w="100" w:type="dxa"/>
            </w:tcMar>
          </w:tcPr>
          <w:p w14:paraId="7D6D52E2" w14:textId="77777777" w:rsidR="007505A5" w:rsidRDefault="007505A5"/>
        </w:tc>
      </w:tr>
    </w:tbl>
    <w:p w14:paraId="4F725E7F" w14:textId="77777777" w:rsidR="007505A5" w:rsidRDefault="00000000">
      <w:pPr>
        <w:pStyle w:val="Heading3"/>
        <w:spacing w:before="200" w:after="90"/>
      </w:pPr>
      <w:r>
        <w:rPr>
          <w:b/>
          <w:bCs/>
          <w:color w:val="1E2761"/>
          <w:sz w:val="21"/>
          <w:szCs w:val="21"/>
        </w:rPr>
        <w:t>8.2 Delivery &amp; verification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600"/>
        <w:gridCol w:w="1600"/>
      </w:tblGrid>
      <w:tr w:rsidR="007505A5" w14:paraId="31E22FC3" w14:textId="77777777">
        <w:tblPrEx>
          <w:tblCellMar>
            <w:top w:w="0" w:type="dxa"/>
            <w:bottom w:w="0" w:type="dxa"/>
          </w:tblCellMar>
        </w:tblPrEx>
        <w:trPr>
          <w:tblHeader/>
        </w:trPr>
        <w:tc>
          <w:tcPr>
            <w:tcW w:w="4400" w:type="dxa"/>
            <w:shd w:val="clear" w:color="auto" w:fill="1E2761"/>
            <w:tcMar>
              <w:top w:w="80" w:type="dxa"/>
              <w:left w:w="100" w:type="dxa"/>
              <w:bottom w:w="80" w:type="dxa"/>
              <w:right w:w="100" w:type="dxa"/>
            </w:tcMar>
          </w:tcPr>
          <w:p w14:paraId="71A01862" w14:textId="77777777" w:rsidR="007505A5" w:rsidRDefault="00000000">
            <w:r>
              <w:rPr>
                <w:b/>
                <w:bCs/>
                <w:color w:val="FFFFFF"/>
              </w:rPr>
              <w:t>Open point</w:t>
            </w:r>
          </w:p>
        </w:tc>
        <w:tc>
          <w:tcPr>
            <w:tcW w:w="2600" w:type="dxa"/>
            <w:shd w:val="clear" w:color="auto" w:fill="1E2761"/>
            <w:tcMar>
              <w:top w:w="80" w:type="dxa"/>
              <w:left w:w="100" w:type="dxa"/>
              <w:bottom w:w="80" w:type="dxa"/>
              <w:right w:w="100" w:type="dxa"/>
            </w:tcMar>
          </w:tcPr>
          <w:p w14:paraId="25D4572C" w14:textId="77777777" w:rsidR="007505A5" w:rsidRDefault="00000000">
            <w:r>
              <w:rPr>
                <w:b/>
                <w:bCs/>
                <w:color w:val="FFFFFF"/>
              </w:rPr>
              <w:t>Team / owner</w:t>
            </w:r>
          </w:p>
        </w:tc>
        <w:tc>
          <w:tcPr>
            <w:tcW w:w="1600" w:type="dxa"/>
            <w:shd w:val="clear" w:color="auto" w:fill="1E2761"/>
            <w:tcMar>
              <w:top w:w="80" w:type="dxa"/>
              <w:left w:w="100" w:type="dxa"/>
              <w:bottom w:w="80" w:type="dxa"/>
              <w:right w:w="100" w:type="dxa"/>
            </w:tcMar>
          </w:tcPr>
          <w:p w14:paraId="5E20F84B" w14:textId="77777777" w:rsidR="007505A5" w:rsidRDefault="00000000">
            <w:r>
              <w:rPr>
                <w:b/>
                <w:bCs/>
                <w:color w:val="FFFFFF"/>
              </w:rPr>
              <w:t>Outcome</w:t>
            </w:r>
          </w:p>
        </w:tc>
      </w:tr>
      <w:tr w:rsidR="007505A5" w14:paraId="14562C0F" w14:textId="77777777">
        <w:tblPrEx>
          <w:tblCellMar>
            <w:top w:w="0" w:type="dxa"/>
            <w:bottom w:w="0" w:type="dxa"/>
          </w:tblCellMar>
        </w:tblPrEx>
        <w:tc>
          <w:tcPr>
            <w:tcW w:w="4400" w:type="dxa"/>
            <w:tcMar>
              <w:top w:w="80" w:type="dxa"/>
              <w:left w:w="100" w:type="dxa"/>
              <w:bottom w:w="80" w:type="dxa"/>
              <w:right w:w="100" w:type="dxa"/>
            </w:tcMar>
          </w:tcPr>
          <w:p w14:paraId="4D4F0F80" w14:textId="77777777" w:rsidR="007505A5" w:rsidRDefault="00000000">
            <w:r>
              <w:rPr>
                <w:color w:val="000000"/>
              </w:rPr>
              <w:t>Fixed set of reschedule reason codes</w:t>
            </w:r>
          </w:p>
        </w:tc>
        <w:tc>
          <w:tcPr>
            <w:tcW w:w="2600" w:type="dxa"/>
            <w:tcMar>
              <w:top w:w="80" w:type="dxa"/>
              <w:left w:w="100" w:type="dxa"/>
              <w:bottom w:w="80" w:type="dxa"/>
              <w:right w:w="100" w:type="dxa"/>
            </w:tcMar>
          </w:tcPr>
          <w:p w14:paraId="6D127C29" w14:textId="77777777" w:rsidR="007505A5" w:rsidRDefault="00000000">
            <w:r>
              <w:rPr>
                <w:color w:val="000000"/>
              </w:rPr>
              <w:t>Sequel</w:t>
            </w:r>
          </w:p>
        </w:tc>
        <w:tc>
          <w:tcPr>
            <w:tcW w:w="1600" w:type="dxa"/>
            <w:tcMar>
              <w:top w:w="80" w:type="dxa"/>
              <w:left w:w="100" w:type="dxa"/>
              <w:bottom w:w="80" w:type="dxa"/>
              <w:right w:w="100" w:type="dxa"/>
            </w:tcMar>
          </w:tcPr>
          <w:p w14:paraId="793228DA" w14:textId="77777777" w:rsidR="007505A5" w:rsidRDefault="007505A5"/>
        </w:tc>
      </w:tr>
      <w:tr w:rsidR="007505A5" w14:paraId="12DC2D04"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48E4EE7A" w14:textId="77777777" w:rsidR="007505A5" w:rsidRDefault="00000000">
            <w:r>
              <w:rPr>
                <w:color w:val="000000"/>
              </w:rPr>
              <w:t>Action after failure of each of the 3 verification steps — Aadhaar mismatch, OTP failure, unique code mismatch</w:t>
            </w:r>
          </w:p>
        </w:tc>
        <w:tc>
          <w:tcPr>
            <w:tcW w:w="2600" w:type="dxa"/>
            <w:shd w:val="clear" w:color="auto" w:fill="F2F2F2"/>
            <w:tcMar>
              <w:top w:w="80" w:type="dxa"/>
              <w:left w:w="100" w:type="dxa"/>
              <w:bottom w:w="80" w:type="dxa"/>
              <w:right w:w="100" w:type="dxa"/>
            </w:tcMar>
          </w:tcPr>
          <w:p w14:paraId="119D8C8C" w14:textId="77777777" w:rsidR="007505A5" w:rsidRDefault="00000000">
            <w:r>
              <w:rPr>
                <w:color w:val="000000"/>
              </w:rPr>
              <w:t>CBG Finance + TN Govt</w:t>
            </w:r>
          </w:p>
        </w:tc>
        <w:tc>
          <w:tcPr>
            <w:tcW w:w="1600" w:type="dxa"/>
            <w:shd w:val="clear" w:color="auto" w:fill="F2F2F2"/>
            <w:tcMar>
              <w:top w:w="80" w:type="dxa"/>
              <w:left w:w="100" w:type="dxa"/>
              <w:bottom w:w="80" w:type="dxa"/>
              <w:right w:w="100" w:type="dxa"/>
            </w:tcMar>
          </w:tcPr>
          <w:p w14:paraId="6425A29C" w14:textId="77777777" w:rsidR="007505A5" w:rsidRDefault="007505A5"/>
        </w:tc>
      </w:tr>
      <w:tr w:rsidR="007505A5" w14:paraId="2394DC50" w14:textId="77777777">
        <w:tblPrEx>
          <w:tblCellMar>
            <w:top w:w="0" w:type="dxa"/>
            <w:bottom w:w="0" w:type="dxa"/>
          </w:tblCellMar>
        </w:tblPrEx>
        <w:tc>
          <w:tcPr>
            <w:tcW w:w="4400" w:type="dxa"/>
            <w:tcMar>
              <w:top w:w="80" w:type="dxa"/>
              <w:left w:w="100" w:type="dxa"/>
              <w:bottom w:w="80" w:type="dxa"/>
              <w:right w:w="100" w:type="dxa"/>
            </w:tcMar>
          </w:tcPr>
          <w:p w14:paraId="23B7ACF9" w14:textId="77777777" w:rsidR="007505A5" w:rsidRDefault="00000000">
            <w:r>
              <w:rPr>
                <w:color w:val="000000"/>
              </w:rPr>
              <w:t>Handling for OTP non-receipt due to signal issues</w:t>
            </w:r>
          </w:p>
        </w:tc>
        <w:tc>
          <w:tcPr>
            <w:tcW w:w="2600" w:type="dxa"/>
            <w:tcMar>
              <w:top w:w="80" w:type="dxa"/>
              <w:left w:w="100" w:type="dxa"/>
              <w:bottom w:w="80" w:type="dxa"/>
              <w:right w:w="100" w:type="dxa"/>
            </w:tcMar>
          </w:tcPr>
          <w:p w14:paraId="5873A0FA" w14:textId="77777777" w:rsidR="007505A5" w:rsidRDefault="00000000">
            <w:r>
              <w:rPr>
                <w:color w:val="000000"/>
              </w:rPr>
              <w:t>CBG Finance + TN Govt</w:t>
            </w:r>
          </w:p>
        </w:tc>
        <w:tc>
          <w:tcPr>
            <w:tcW w:w="1600" w:type="dxa"/>
            <w:tcMar>
              <w:top w:w="80" w:type="dxa"/>
              <w:left w:w="100" w:type="dxa"/>
              <w:bottom w:w="80" w:type="dxa"/>
              <w:right w:w="100" w:type="dxa"/>
            </w:tcMar>
          </w:tcPr>
          <w:p w14:paraId="66F36C76" w14:textId="77777777" w:rsidR="007505A5" w:rsidRDefault="007505A5"/>
        </w:tc>
      </w:tr>
      <w:tr w:rsidR="007505A5" w14:paraId="18F6BAB4"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20D49CB1" w14:textId="77777777" w:rsidR="007505A5" w:rsidRDefault="00000000">
            <w:r>
              <w:rPr>
                <w:color w:val="000000"/>
              </w:rPr>
              <w:t>What happens once delivery re-attempts (2, or 3 under special circumstances) are exhausted</w:t>
            </w:r>
          </w:p>
        </w:tc>
        <w:tc>
          <w:tcPr>
            <w:tcW w:w="2600" w:type="dxa"/>
            <w:shd w:val="clear" w:color="auto" w:fill="F2F2F2"/>
            <w:tcMar>
              <w:top w:w="80" w:type="dxa"/>
              <w:left w:w="100" w:type="dxa"/>
              <w:bottom w:w="80" w:type="dxa"/>
              <w:right w:w="100" w:type="dxa"/>
            </w:tcMar>
          </w:tcPr>
          <w:p w14:paraId="178BEB8C" w14:textId="77777777" w:rsidR="007505A5" w:rsidRDefault="00000000">
            <w:r>
              <w:rPr>
                <w:color w:val="000000"/>
              </w:rPr>
              <w:t>CBG Finance + TN Govt</w:t>
            </w:r>
          </w:p>
        </w:tc>
        <w:tc>
          <w:tcPr>
            <w:tcW w:w="1600" w:type="dxa"/>
            <w:shd w:val="clear" w:color="auto" w:fill="F2F2F2"/>
            <w:tcMar>
              <w:top w:w="80" w:type="dxa"/>
              <w:left w:w="100" w:type="dxa"/>
              <w:bottom w:w="80" w:type="dxa"/>
              <w:right w:w="100" w:type="dxa"/>
            </w:tcMar>
          </w:tcPr>
          <w:p w14:paraId="6DD82B01" w14:textId="77777777" w:rsidR="007505A5" w:rsidRDefault="007505A5"/>
        </w:tc>
      </w:tr>
    </w:tbl>
    <w:p w14:paraId="0C50A2E3" w14:textId="77777777" w:rsidR="00854186" w:rsidRDefault="00854186">
      <w:pPr>
        <w:pStyle w:val="Heading3"/>
        <w:spacing w:before="200" w:after="90"/>
        <w:rPr>
          <w:b/>
          <w:bCs/>
          <w:color w:val="1E2761"/>
          <w:sz w:val="21"/>
          <w:szCs w:val="21"/>
        </w:rPr>
      </w:pPr>
    </w:p>
    <w:p w14:paraId="7DF43CEC" w14:textId="77777777" w:rsidR="00854186" w:rsidRDefault="00854186">
      <w:pPr>
        <w:pStyle w:val="Heading3"/>
        <w:spacing w:before="200" w:after="90"/>
        <w:rPr>
          <w:b/>
          <w:bCs/>
          <w:color w:val="1E2761"/>
          <w:sz w:val="21"/>
          <w:szCs w:val="21"/>
        </w:rPr>
      </w:pPr>
    </w:p>
    <w:p w14:paraId="22942E74" w14:textId="77777777" w:rsidR="00854186" w:rsidRDefault="00854186">
      <w:pPr>
        <w:pStyle w:val="Heading3"/>
        <w:spacing w:before="200" w:after="90"/>
        <w:rPr>
          <w:b/>
          <w:bCs/>
          <w:color w:val="1E2761"/>
          <w:sz w:val="21"/>
          <w:szCs w:val="21"/>
        </w:rPr>
      </w:pPr>
    </w:p>
    <w:p w14:paraId="4C655019" w14:textId="1DD229A4" w:rsidR="007505A5" w:rsidRDefault="00000000">
      <w:pPr>
        <w:pStyle w:val="Heading3"/>
        <w:spacing w:before="200" w:after="90"/>
      </w:pPr>
      <w:r>
        <w:rPr>
          <w:b/>
          <w:bCs/>
          <w:color w:val="1E2761"/>
          <w:sz w:val="21"/>
          <w:szCs w:val="21"/>
        </w:rPr>
        <w:lastRenderedPageBreak/>
        <w:t>8.3 Proof of delivery &amp; Sequel integration</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600"/>
        <w:gridCol w:w="1600"/>
      </w:tblGrid>
      <w:tr w:rsidR="007505A5" w14:paraId="4A8972CF" w14:textId="77777777">
        <w:tblPrEx>
          <w:tblCellMar>
            <w:top w:w="0" w:type="dxa"/>
            <w:bottom w:w="0" w:type="dxa"/>
          </w:tblCellMar>
        </w:tblPrEx>
        <w:trPr>
          <w:tblHeader/>
        </w:trPr>
        <w:tc>
          <w:tcPr>
            <w:tcW w:w="4400" w:type="dxa"/>
            <w:shd w:val="clear" w:color="auto" w:fill="1E2761"/>
            <w:tcMar>
              <w:top w:w="80" w:type="dxa"/>
              <w:left w:w="100" w:type="dxa"/>
              <w:bottom w:w="80" w:type="dxa"/>
              <w:right w:w="100" w:type="dxa"/>
            </w:tcMar>
          </w:tcPr>
          <w:p w14:paraId="65BEBE93" w14:textId="77777777" w:rsidR="007505A5" w:rsidRDefault="00000000">
            <w:r>
              <w:rPr>
                <w:b/>
                <w:bCs/>
                <w:color w:val="FFFFFF"/>
              </w:rPr>
              <w:t>Open point</w:t>
            </w:r>
          </w:p>
        </w:tc>
        <w:tc>
          <w:tcPr>
            <w:tcW w:w="2600" w:type="dxa"/>
            <w:shd w:val="clear" w:color="auto" w:fill="1E2761"/>
            <w:tcMar>
              <w:top w:w="80" w:type="dxa"/>
              <w:left w:w="100" w:type="dxa"/>
              <w:bottom w:w="80" w:type="dxa"/>
              <w:right w:w="100" w:type="dxa"/>
            </w:tcMar>
          </w:tcPr>
          <w:p w14:paraId="61A1F208" w14:textId="77777777" w:rsidR="007505A5" w:rsidRDefault="00000000">
            <w:r>
              <w:rPr>
                <w:b/>
                <w:bCs/>
                <w:color w:val="FFFFFF"/>
              </w:rPr>
              <w:t>Team / owner</w:t>
            </w:r>
          </w:p>
        </w:tc>
        <w:tc>
          <w:tcPr>
            <w:tcW w:w="1600" w:type="dxa"/>
            <w:shd w:val="clear" w:color="auto" w:fill="1E2761"/>
            <w:tcMar>
              <w:top w:w="80" w:type="dxa"/>
              <w:left w:w="100" w:type="dxa"/>
              <w:bottom w:w="80" w:type="dxa"/>
              <w:right w:w="100" w:type="dxa"/>
            </w:tcMar>
          </w:tcPr>
          <w:p w14:paraId="1CCEF493" w14:textId="77777777" w:rsidR="007505A5" w:rsidRDefault="00000000">
            <w:r>
              <w:rPr>
                <w:b/>
                <w:bCs/>
                <w:color w:val="FFFFFF"/>
              </w:rPr>
              <w:t>Outcome</w:t>
            </w:r>
          </w:p>
        </w:tc>
      </w:tr>
      <w:tr w:rsidR="007505A5" w14:paraId="0767138C" w14:textId="77777777">
        <w:tblPrEx>
          <w:tblCellMar>
            <w:top w:w="0" w:type="dxa"/>
            <w:bottom w:w="0" w:type="dxa"/>
          </w:tblCellMar>
        </w:tblPrEx>
        <w:tc>
          <w:tcPr>
            <w:tcW w:w="4400" w:type="dxa"/>
            <w:tcMar>
              <w:top w:w="80" w:type="dxa"/>
              <w:left w:w="100" w:type="dxa"/>
              <w:bottom w:w="80" w:type="dxa"/>
              <w:right w:w="100" w:type="dxa"/>
            </w:tcMar>
          </w:tcPr>
          <w:p w14:paraId="16064D03" w14:textId="77777777" w:rsidR="007505A5" w:rsidRDefault="00000000">
            <w:r>
              <w:rPr>
                <w:color w:val="000000"/>
              </w:rPr>
              <w:t>Handling for partial PoD capture, failed API transmission, or corrupted documents</w:t>
            </w:r>
          </w:p>
        </w:tc>
        <w:tc>
          <w:tcPr>
            <w:tcW w:w="2600" w:type="dxa"/>
            <w:tcMar>
              <w:top w:w="80" w:type="dxa"/>
              <w:left w:w="100" w:type="dxa"/>
              <w:bottom w:w="80" w:type="dxa"/>
              <w:right w:w="100" w:type="dxa"/>
            </w:tcMar>
          </w:tcPr>
          <w:p w14:paraId="0AC52F74" w14:textId="77777777" w:rsidR="007505A5" w:rsidRDefault="00000000">
            <w:r>
              <w:rPr>
                <w:color w:val="000000"/>
              </w:rPr>
              <w:t>Sequel</w:t>
            </w:r>
          </w:p>
        </w:tc>
        <w:tc>
          <w:tcPr>
            <w:tcW w:w="1600" w:type="dxa"/>
            <w:tcMar>
              <w:top w:w="80" w:type="dxa"/>
              <w:left w:w="100" w:type="dxa"/>
              <w:bottom w:w="80" w:type="dxa"/>
              <w:right w:w="100" w:type="dxa"/>
            </w:tcMar>
          </w:tcPr>
          <w:p w14:paraId="49BA33EE" w14:textId="77777777" w:rsidR="007505A5" w:rsidRDefault="007505A5"/>
        </w:tc>
      </w:tr>
      <w:tr w:rsidR="007505A5" w14:paraId="423D0E27"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18658C6C" w14:textId="77777777" w:rsidR="007505A5" w:rsidRDefault="00000000">
            <w:r>
              <w:rPr>
                <w:color w:val="000000"/>
              </w:rPr>
              <w:t>Grievance case data schema, and whether delivered via the same API as delivery status or a separate one</w:t>
            </w:r>
          </w:p>
        </w:tc>
        <w:tc>
          <w:tcPr>
            <w:tcW w:w="2600" w:type="dxa"/>
            <w:shd w:val="clear" w:color="auto" w:fill="F2F2F2"/>
            <w:tcMar>
              <w:top w:w="80" w:type="dxa"/>
              <w:left w:w="100" w:type="dxa"/>
              <w:bottom w:w="80" w:type="dxa"/>
              <w:right w:w="100" w:type="dxa"/>
            </w:tcMar>
          </w:tcPr>
          <w:p w14:paraId="0AC8C54F" w14:textId="77777777" w:rsidR="007505A5" w:rsidRDefault="00000000">
            <w:r>
              <w:rPr>
                <w:color w:val="000000"/>
              </w:rPr>
              <w:t>Sequel</w:t>
            </w:r>
          </w:p>
        </w:tc>
        <w:tc>
          <w:tcPr>
            <w:tcW w:w="1600" w:type="dxa"/>
            <w:shd w:val="clear" w:color="auto" w:fill="F2F2F2"/>
            <w:tcMar>
              <w:top w:w="80" w:type="dxa"/>
              <w:left w:w="100" w:type="dxa"/>
              <w:bottom w:w="80" w:type="dxa"/>
              <w:right w:w="100" w:type="dxa"/>
            </w:tcMar>
          </w:tcPr>
          <w:p w14:paraId="53461268" w14:textId="77777777" w:rsidR="007505A5" w:rsidRDefault="007505A5"/>
        </w:tc>
      </w:tr>
      <w:tr w:rsidR="007505A5" w14:paraId="4011959D" w14:textId="77777777">
        <w:tblPrEx>
          <w:tblCellMar>
            <w:top w:w="0" w:type="dxa"/>
            <w:bottom w:w="0" w:type="dxa"/>
          </w:tblCellMar>
        </w:tblPrEx>
        <w:tc>
          <w:tcPr>
            <w:tcW w:w="4400" w:type="dxa"/>
            <w:tcMar>
              <w:top w:w="80" w:type="dxa"/>
              <w:left w:w="100" w:type="dxa"/>
              <w:bottom w:w="80" w:type="dxa"/>
              <w:right w:w="100" w:type="dxa"/>
            </w:tcMar>
          </w:tcPr>
          <w:p w14:paraId="3B54B700" w14:textId="77777777" w:rsidR="007505A5" w:rsidRDefault="00000000">
            <w:r>
              <w:rPr>
                <w:color w:val="000000"/>
              </w:rPr>
              <w:t>Full API/webhook contract — authentication, payload schema, retry policy, secure document delivery</w:t>
            </w:r>
          </w:p>
        </w:tc>
        <w:tc>
          <w:tcPr>
            <w:tcW w:w="2600" w:type="dxa"/>
            <w:tcMar>
              <w:top w:w="80" w:type="dxa"/>
              <w:left w:w="100" w:type="dxa"/>
              <w:bottom w:w="80" w:type="dxa"/>
              <w:right w:w="100" w:type="dxa"/>
            </w:tcMar>
          </w:tcPr>
          <w:p w14:paraId="3BFD43C2" w14:textId="77777777" w:rsidR="007505A5" w:rsidRDefault="00000000">
            <w:r>
              <w:rPr>
                <w:color w:val="000000"/>
              </w:rPr>
              <w:t>Titan + Sequel</w:t>
            </w:r>
          </w:p>
        </w:tc>
        <w:tc>
          <w:tcPr>
            <w:tcW w:w="1600" w:type="dxa"/>
            <w:tcMar>
              <w:top w:w="80" w:type="dxa"/>
              <w:left w:w="100" w:type="dxa"/>
              <w:bottom w:w="80" w:type="dxa"/>
              <w:right w:w="100" w:type="dxa"/>
            </w:tcMar>
          </w:tcPr>
          <w:p w14:paraId="7E1D2B43" w14:textId="77777777" w:rsidR="007505A5" w:rsidRDefault="007505A5"/>
        </w:tc>
      </w:tr>
    </w:tbl>
    <w:p w14:paraId="7DA56DA4" w14:textId="77777777" w:rsidR="007505A5" w:rsidRDefault="00000000">
      <w:pPr>
        <w:pStyle w:val="Heading3"/>
        <w:spacing w:before="200" w:after="90"/>
      </w:pPr>
      <w:r>
        <w:rPr>
          <w:b/>
          <w:bCs/>
          <w:color w:val="1E2761"/>
          <w:sz w:val="21"/>
          <w:szCs w:val="21"/>
        </w:rPr>
        <w:t>8.4 Status, access &amp; reporting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600"/>
        <w:gridCol w:w="1600"/>
      </w:tblGrid>
      <w:tr w:rsidR="007505A5" w14:paraId="7A1150F1" w14:textId="77777777">
        <w:tblPrEx>
          <w:tblCellMar>
            <w:top w:w="0" w:type="dxa"/>
            <w:bottom w:w="0" w:type="dxa"/>
          </w:tblCellMar>
        </w:tblPrEx>
        <w:trPr>
          <w:tblHeader/>
        </w:trPr>
        <w:tc>
          <w:tcPr>
            <w:tcW w:w="4400" w:type="dxa"/>
            <w:shd w:val="clear" w:color="auto" w:fill="1E2761"/>
            <w:tcMar>
              <w:top w:w="80" w:type="dxa"/>
              <w:left w:w="100" w:type="dxa"/>
              <w:bottom w:w="80" w:type="dxa"/>
              <w:right w:w="100" w:type="dxa"/>
            </w:tcMar>
          </w:tcPr>
          <w:p w14:paraId="4E6C22F7" w14:textId="77777777" w:rsidR="007505A5" w:rsidRDefault="00000000">
            <w:r>
              <w:rPr>
                <w:b/>
                <w:bCs/>
                <w:color w:val="FFFFFF"/>
              </w:rPr>
              <w:t>Open point</w:t>
            </w:r>
          </w:p>
        </w:tc>
        <w:tc>
          <w:tcPr>
            <w:tcW w:w="2600" w:type="dxa"/>
            <w:shd w:val="clear" w:color="auto" w:fill="1E2761"/>
            <w:tcMar>
              <w:top w:w="80" w:type="dxa"/>
              <w:left w:w="100" w:type="dxa"/>
              <w:bottom w:w="80" w:type="dxa"/>
              <w:right w:w="100" w:type="dxa"/>
            </w:tcMar>
          </w:tcPr>
          <w:p w14:paraId="25863746" w14:textId="77777777" w:rsidR="007505A5" w:rsidRDefault="00000000">
            <w:r>
              <w:rPr>
                <w:b/>
                <w:bCs/>
                <w:color w:val="FFFFFF"/>
              </w:rPr>
              <w:t>Team / owner</w:t>
            </w:r>
          </w:p>
        </w:tc>
        <w:tc>
          <w:tcPr>
            <w:tcW w:w="1600" w:type="dxa"/>
            <w:shd w:val="clear" w:color="auto" w:fill="1E2761"/>
            <w:tcMar>
              <w:top w:w="80" w:type="dxa"/>
              <w:left w:w="100" w:type="dxa"/>
              <w:bottom w:w="80" w:type="dxa"/>
              <w:right w:w="100" w:type="dxa"/>
            </w:tcMar>
          </w:tcPr>
          <w:p w14:paraId="29032E3B" w14:textId="77777777" w:rsidR="007505A5" w:rsidRDefault="00000000">
            <w:r>
              <w:rPr>
                <w:b/>
                <w:bCs/>
                <w:color w:val="FFFFFF"/>
              </w:rPr>
              <w:t>Outcome</w:t>
            </w:r>
          </w:p>
        </w:tc>
      </w:tr>
      <w:tr w:rsidR="007505A5" w14:paraId="2D9C14E3" w14:textId="77777777">
        <w:tblPrEx>
          <w:tblCellMar>
            <w:top w:w="0" w:type="dxa"/>
            <w:bottom w:w="0" w:type="dxa"/>
          </w:tblCellMar>
        </w:tblPrEx>
        <w:tc>
          <w:tcPr>
            <w:tcW w:w="4400" w:type="dxa"/>
            <w:tcMar>
              <w:top w:w="80" w:type="dxa"/>
              <w:left w:w="100" w:type="dxa"/>
              <w:bottom w:w="80" w:type="dxa"/>
              <w:right w:w="100" w:type="dxa"/>
            </w:tcMar>
          </w:tcPr>
          <w:p w14:paraId="055B20A5" w14:textId="77777777" w:rsidR="007505A5" w:rsidRDefault="00000000">
            <w:r>
              <w:rPr>
                <w:color w:val="000000"/>
              </w:rPr>
              <w:t>Full set of final order end-states and what triggers each (delivered, cancelled, undeliverable, etc.)</w:t>
            </w:r>
          </w:p>
        </w:tc>
        <w:tc>
          <w:tcPr>
            <w:tcW w:w="2600" w:type="dxa"/>
            <w:tcMar>
              <w:top w:w="80" w:type="dxa"/>
              <w:left w:w="100" w:type="dxa"/>
              <w:bottom w:w="80" w:type="dxa"/>
              <w:right w:w="100" w:type="dxa"/>
            </w:tcMar>
          </w:tcPr>
          <w:p w14:paraId="14000D6C" w14:textId="77777777" w:rsidR="007505A5" w:rsidRDefault="00000000">
            <w:r>
              <w:rPr>
                <w:color w:val="000000"/>
              </w:rPr>
              <w:t>CBG Finance + Sequel</w:t>
            </w:r>
          </w:p>
        </w:tc>
        <w:tc>
          <w:tcPr>
            <w:tcW w:w="1600" w:type="dxa"/>
            <w:tcMar>
              <w:top w:w="80" w:type="dxa"/>
              <w:left w:w="100" w:type="dxa"/>
              <w:bottom w:w="80" w:type="dxa"/>
              <w:right w:w="100" w:type="dxa"/>
            </w:tcMar>
          </w:tcPr>
          <w:p w14:paraId="610F938B" w14:textId="77777777" w:rsidR="007505A5" w:rsidRDefault="007505A5"/>
        </w:tc>
      </w:tr>
      <w:tr w:rsidR="007505A5" w14:paraId="675247B1"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57DA16B0" w14:textId="77777777" w:rsidR="007505A5" w:rsidRDefault="00000000">
            <w:r>
              <w:rPr>
                <w:color w:val="000000"/>
              </w:rPr>
              <w:t>Whether TN Govt can take action in the platform on a failed delivery or a grievance case, or view-only is sufficient</w:t>
            </w:r>
          </w:p>
        </w:tc>
        <w:tc>
          <w:tcPr>
            <w:tcW w:w="2600" w:type="dxa"/>
            <w:shd w:val="clear" w:color="auto" w:fill="F2F2F2"/>
            <w:tcMar>
              <w:top w:w="80" w:type="dxa"/>
              <w:left w:w="100" w:type="dxa"/>
              <w:bottom w:w="80" w:type="dxa"/>
              <w:right w:w="100" w:type="dxa"/>
            </w:tcMar>
          </w:tcPr>
          <w:p w14:paraId="64A5500D" w14:textId="77777777" w:rsidR="007505A5" w:rsidRDefault="00000000">
            <w:r>
              <w:rPr>
                <w:color w:val="000000"/>
              </w:rPr>
              <w:t>CBG Finance + TN Govt</w:t>
            </w:r>
          </w:p>
        </w:tc>
        <w:tc>
          <w:tcPr>
            <w:tcW w:w="1600" w:type="dxa"/>
            <w:shd w:val="clear" w:color="auto" w:fill="F2F2F2"/>
            <w:tcMar>
              <w:top w:w="80" w:type="dxa"/>
              <w:left w:w="100" w:type="dxa"/>
              <w:bottom w:w="80" w:type="dxa"/>
              <w:right w:w="100" w:type="dxa"/>
            </w:tcMar>
          </w:tcPr>
          <w:p w14:paraId="34FCF510" w14:textId="77777777" w:rsidR="007505A5" w:rsidRDefault="007505A5"/>
        </w:tc>
      </w:tr>
      <w:tr w:rsidR="007505A5" w14:paraId="11ED5CBA" w14:textId="77777777">
        <w:tblPrEx>
          <w:tblCellMar>
            <w:top w:w="0" w:type="dxa"/>
            <w:bottom w:w="0" w:type="dxa"/>
          </w:tblCellMar>
        </w:tblPrEx>
        <w:tc>
          <w:tcPr>
            <w:tcW w:w="4400" w:type="dxa"/>
            <w:tcMar>
              <w:top w:w="80" w:type="dxa"/>
              <w:left w:w="100" w:type="dxa"/>
              <w:bottom w:w="80" w:type="dxa"/>
              <w:right w:w="100" w:type="dxa"/>
            </w:tcMar>
          </w:tcPr>
          <w:p w14:paraId="5A954C2F" w14:textId="77777777" w:rsidR="007505A5" w:rsidRDefault="00000000">
            <w:r>
              <w:rPr>
                <w:color w:val="000000"/>
              </w:rPr>
              <w:t>Whether price per coin or per order needs to be shown for audit and record purposes</w:t>
            </w:r>
          </w:p>
        </w:tc>
        <w:tc>
          <w:tcPr>
            <w:tcW w:w="2600" w:type="dxa"/>
            <w:tcMar>
              <w:top w:w="80" w:type="dxa"/>
              <w:left w:w="100" w:type="dxa"/>
              <w:bottom w:w="80" w:type="dxa"/>
              <w:right w:w="100" w:type="dxa"/>
            </w:tcMar>
          </w:tcPr>
          <w:p w14:paraId="2C987CB8" w14:textId="77777777" w:rsidR="007505A5" w:rsidRDefault="00000000">
            <w:r>
              <w:rPr>
                <w:color w:val="000000"/>
              </w:rPr>
              <w:t>CBG Finance</w:t>
            </w:r>
          </w:p>
        </w:tc>
        <w:tc>
          <w:tcPr>
            <w:tcW w:w="1600" w:type="dxa"/>
            <w:tcMar>
              <w:top w:w="80" w:type="dxa"/>
              <w:left w:w="100" w:type="dxa"/>
              <w:bottom w:w="80" w:type="dxa"/>
              <w:right w:w="100" w:type="dxa"/>
            </w:tcMar>
          </w:tcPr>
          <w:p w14:paraId="70F569EB" w14:textId="77777777" w:rsidR="007505A5" w:rsidRDefault="007505A5"/>
        </w:tc>
      </w:tr>
    </w:tbl>
    <w:p w14:paraId="5A0B04E4" w14:textId="77777777" w:rsidR="007505A5" w:rsidRDefault="00000000">
      <w:pPr>
        <w:pStyle w:val="Heading3"/>
        <w:spacing w:before="200" w:after="90"/>
      </w:pPr>
      <w:r>
        <w:rPr>
          <w:b/>
          <w:bCs/>
          <w:color w:val="1E2761"/>
          <w:sz w:val="21"/>
          <w:szCs w:val="21"/>
        </w:rPr>
        <w:t>8.5 Compliance &amp; pending inputs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600"/>
        <w:gridCol w:w="1600"/>
      </w:tblGrid>
      <w:tr w:rsidR="007505A5" w14:paraId="1C70DA26" w14:textId="77777777">
        <w:tblPrEx>
          <w:tblCellMar>
            <w:top w:w="0" w:type="dxa"/>
            <w:bottom w:w="0" w:type="dxa"/>
          </w:tblCellMar>
        </w:tblPrEx>
        <w:trPr>
          <w:tblHeader/>
        </w:trPr>
        <w:tc>
          <w:tcPr>
            <w:tcW w:w="4400" w:type="dxa"/>
            <w:shd w:val="clear" w:color="auto" w:fill="1E2761"/>
            <w:tcMar>
              <w:top w:w="80" w:type="dxa"/>
              <w:left w:w="100" w:type="dxa"/>
              <w:bottom w:w="80" w:type="dxa"/>
              <w:right w:w="100" w:type="dxa"/>
            </w:tcMar>
          </w:tcPr>
          <w:p w14:paraId="73C776F1" w14:textId="77777777" w:rsidR="007505A5" w:rsidRDefault="00000000">
            <w:r>
              <w:rPr>
                <w:b/>
                <w:bCs/>
                <w:color w:val="FFFFFF"/>
              </w:rPr>
              <w:t>Open point</w:t>
            </w:r>
          </w:p>
        </w:tc>
        <w:tc>
          <w:tcPr>
            <w:tcW w:w="2600" w:type="dxa"/>
            <w:shd w:val="clear" w:color="auto" w:fill="1E2761"/>
            <w:tcMar>
              <w:top w:w="80" w:type="dxa"/>
              <w:left w:w="100" w:type="dxa"/>
              <w:bottom w:w="80" w:type="dxa"/>
              <w:right w:w="100" w:type="dxa"/>
            </w:tcMar>
          </w:tcPr>
          <w:p w14:paraId="462AECC4" w14:textId="77777777" w:rsidR="007505A5" w:rsidRDefault="00000000">
            <w:r>
              <w:rPr>
                <w:b/>
                <w:bCs/>
                <w:color w:val="FFFFFF"/>
              </w:rPr>
              <w:t>Team / owner</w:t>
            </w:r>
          </w:p>
        </w:tc>
        <w:tc>
          <w:tcPr>
            <w:tcW w:w="1600" w:type="dxa"/>
            <w:shd w:val="clear" w:color="auto" w:fill="1E2761"/>
            <w:tcMar>
              <w:top w:w="80" w:type="dxa"/>
              <w:left w:w="100" w:type="dxa"/>
              <w:bottom w:w="80" w:type="dxa"/>
              <w:right w:w="100" w:type="dxa"/>
            </w:tcMar>
          </w:tcPr>
          <w:p w14:paraId="77CA06B9" w14:textId="77777777" w:rsidR="007505A5" w:rsidRDefault="00000000">
            <w:r>
              <w:rPr>
                <w:b/>
                <w:bCs/>
                <w:color w:val="FFFFFF"/>
              </w:rPr>
              <w:t>Outcome</w:t>
            </w:r>
          </w:p>
        </w:tc>
      </w:tr>
      <w:tr w:rsidR="007505A5" w14:paraId="2A07922F" w14:textId="77777777">
        <w:tblPrEx>
          <w:tblCellMar>
            <w:top w:w="0" w:type="dxa"/>
            <w:bottom w:w="0" w:type="dxa"/>
          </w:tblCellMar>
        </w:tblPrEx>
        <w:tc>
          <w:tcPr>
            <w:tcW w:w="4400" w:type="dxa"/>
            <w:tcMar>
              <w:top w:w="80" w:type="dxa"/>
              <w:left w:w="100" w:type="dxa"/>
              <w:bottom w:w="80" w:type="dxa"/>
              <w:right w:w="100" w:type="dxa"/>
            </w:tcMar>
          </w:tcPr>
          <w:p w14:paraId="306DAFB5" w14:textId="77777777" w:rsidR="007505A5" w:rsidRDefault="00000000">
            <w:r>
              <w:rPr>
                <w:color w:val="000000"/>
              </w:rPr>
              <w:t>Legal/compliance clearance to store the beneficiary's ID photo under the DPDP Act</w:t>
            </w:r>
          </w:p>
        </w:tc>
        <w:tc>
          <w:tcPr>
            <w:tcW w:w="2600" w:type="dxa"/>
            <w:tcMar>
              <w:top w:w="80" w:type="dxa"/>
              <w:left w:w="100" w:type="dxa"/>
              <w:bottom w:w="80" w:type="dxa"/>
              <w:right w:w="100" w:type="dxa"/>
            </w:tcMar>
          </w:tcPr>
          <w:p w14:paraId="7AFA8CAA" w14:textId="77777777" w:rsidR="007505A5" w:rsidRDefault="00000000">
            <w:r>
              <w:rPr>
                <w:color w:val="000000"/>
              </w:rPr>
              <w:t>Titan Legal</w:t>
            </w:r>
          </w:p>
        </w:tc>
        <w:tc>
          <w:tcPr>
            <w:tcW w:w="1600" w:type="dxa"/>
            <w:tcMar>
              <w:top w:w="80" w:type="dxa"/>
              <w:left w:w="100" w:type="dxa"/>
              <w:bottom w:w="80" w:type="dxa"/>
              <w:right w:w="100" w:type="dxa"/>
            </w:tcMar>
          </w:tcPr>
          <w:p w14:paraId="78F354C2" w14:textId="77777777" w:rsidR="007505A5" w:rsidRDefault="007505A5"/>
        </w:tc>
      </w:tr>
      <w:tr w:rsidR="007505A5" w14:paraId="70802AD0" w14:textId="77777777">
        <w:tblPrEx>
          <w:tblCellMar>
            <w:top w:w="0" w:type="dxa"/>
            <w:bottom w:w="0" w:type="dxa"/>
          </w:tblCellMar>
        </w:tblPrEx>
        <w:tc>
          <w:tcPr>
            <w:tcW w:w="4400" w:type="dxa"/>
            <w:shd w:val="clear" w:color="auto" w:fill="F2F2F2"/>
            <w:tcMar>
              <w:top w:w="80" w:type="dxa"/>
              <w:left w:w="100" w:type="dxa"/>
              <w:bottom w:w="80" w:type="dxa"/>
              <w:right w:w="100" w:type="dxa"/>
            </w:tcMar>
          </w:tcPr>
          <w:p w14:paraId="7F7FEAB7" w14:textId="77777777" w:rsidR="007505A5" w:rsidRDefault="00000000">
            <w:r>
              <w:rPr>
                <w:color w:val="000000"/>
              </w:rPr>
              <w:t>List of names/numbers to populate the contact &amp; helpline directory (2.15)</w:t>
            </w:r>
          </w:p>
        </w:tc>
        <w:tc>
          <w:tcPr>
            <w:tcW w:w="2600" w:type="dxa"/>
            <w:shd w:val="clear" w:color="auto" w:fill="F2F2F2"/>
            <w:tcMar>
              <w:top w:w="80" w:type="dxa"/>
              <w:left w:w="100" w:type="dxa"/>
              <w:bottom w:w="80" w:type="dxa"/>
              <w:right w:w="100" w:type="dxa"/>
            </w:tcMar>
          </w:tcPr>
          <w:p w14:paraId="695C5FEB" w14:textId="77777777" w:rsidR="007505A5" w:rsidRDefault="00000000">
            <w:r>
              <w:rPr>
                <w:color w:val="000000"/>
              </w:rPr>
              <w:t>Titan (internal — to supply)</w:t>
            </w:r>
          </w:p>
        </w:tc>
        <w:tc>
          <w:tcPr>
            <w:tcW w:w="1600" w:type="dxa"/>
            <w:shd w:val="clear" w:color="auto" w:fill="F2F2F2"/>
            <w:tcMar>
              <w:top w:w="80" w:type="dxa"/>
              <w:left w:w="100" w:type="dxa"/>
              <w:bottom w:w="80" w:type="dxa"/>
              <w:right w:w="100" w:type="dxa"/>
            </w:tcMar>
          </w:tcPr>
          <w:p w14:paraId="17D8BABA" w14:textId="77777777" w:rsidR="007505A5" w:rsidRDefault="007505A5"/>
        </w:tc>
      </w:tr>
      <w:tr w:rsidR="007505A5" w14:paraId="3C0472AB" w14:textId="77777777">
        <w:tblPrEx>
          <w:tblCellMar>
            <w:top w:w="0" w:type="dxa"/>
            <w:bottom w:w="0" w:type="dxa"/>
          </w:tblCellMar>
        </w:tblPrEx>
        <w:tc>
          <w:tcPr>
            <w:tcW w:w="4400" w:type="dxa"/>
            <w:tcMar>
              <w:top w:w="80" w:type="dxa"/>
              <w:left w:w="100" w:type="dxa"/>
              <w:bottom w:w="80" w:type="dxa"/>
              <w:right w:w="100" w:type="dxa"/>
            </w:tcMar>
          </w:tcPr>
          <w:p w14:paraId="7FF76512" w14:textId="77777777" w:rsidR="007505A5" w:rsidRDefault="00000000">
            <w:r>
              <w:rPr>
                <w:color w:val="000000"/>
              </w:rPr>
              <w:t>Integration mechanism with Oracle (API, file, or manual) for the stock-quantity request in 2.5</w:t>
            </w:r>
          </w:p>
        </w:tc>
        <w:tc>
          <w:tcPr>
            <w:tcW w:w="2600" w:type="dxa"/>
            <w:tcMar>
              <w:top w:w="80" w:type="dxa"/>
              <w:left w:w="100" w:type="dxa"/>
              <w:bottom w:w="80" w:type="dxa"/>
              <w:right w:w="100" w:type="dxa"/>
            </w:tcMar>
          </w:tcPr>
          <w:p w14:paraId="50ED58F3" w14:textId="77777777" w:rsidR="007505A5" w:rsidRDefault="00000000">
            <w:r>
              <w:rPr>
                <w:color w:val="000000"/>
              </w:rPr>
              <w:t>Titan (internal)</w:t>
            </w:r>
          </w:p>
        </w:tc>
        <w:tc>
          <w:tcPr>
            <w:tcW w:w="1600" w:type="dxa"/>
            <w:tcMar>
              <w:top w:w="80" w:type="dxa"/>
              <w:left w:w="100" w:type="dxa"/>
              <w:bottom w:w="80" w:type="dxa"/>
              <w:right w:w="100" w:type="dxa"/>
            </w:tcMar>
          </w:tcPr>
          <w:p w14:paraId="3C7A5465" w14:textId="77777777" w:rsidR="007505A5" w:rsidRDefault="007505A5"/>
        </w:tc>
      </w:tr>
    </w:tbl>
    <w:p w14:paraId="11AFEB02" w14:textId="77777777" w:rsidR="007505A5" w:rsidRDefault="00000000">
      <w:pPr>
        <w:pStyle w:val="Heading1"/>
        <w:spacing w:before="320" w:after="150"/>
      </w:pPr>
      <w:r>
        <w:rPr>
          <w:b/>
          <w:bCs/>
          <w:color w:val="1E2761"/>
        </w:rPr>
        <w:t>9. Additional features for user experience</w:t>
      </w:r>
    </w:p>
    <w:p w14:paraId="24D759E2" w14:textId="77777777" w:rsidR="007505A5" w:rsidRDefault="00000000">
      <w:pPr>
        <w:pStyle w:val="Heading2"/>
        <w:spacing w:before="220" w:after="100"/>
      </w:pPr>
      <w:r>
        <w:rPr>
          <w:b/>
          <w:bCs/>
          <w:color w:val="1E2761"/>
          <w:sz w:val="24"/>
          <w:szCs w:val="24"/>
        </w:rPr>
        <w:t>9.1 For TN Govt</w:t>
      </w:r>
    </w:p>
    <w:p w14:paraId="74A008BE" w14:textId="77777777" w:rsidR="007505A5" w:rsidRDefault="00000000">
      <w:pPr>
        <w:pStyle w:val="ListParagraph"/>
        <w:numPr>
          <w:ilvl w:val="0"/>
          <w:numId w:val="2"/>
        </w:numPr>
        <w:spacing w:after="60"/>
      </w:pPr>
      <w:r>
        <w:t>Upload confirmation screen — record count, batch ID, and all validation errors shown together with row/field detail.</w:t>
      </w:r>
    </w:p>
    <w:p w14:paraId="3A7C5277" w14:textId="77777777" w:rsidR="007505A5" w:rsidRDefault="00000000">
      <w:pPr>
        <w:pStyle w:val="ListParagraph"/>
        <w:numPr>
          <w:ilvl w:val="0"/>
          <w:numId w:val="2"/>
        </w:numPr>
        <w:spacing w:after="60"/>
      </w:pPr>
      <w:r>
        <w:t>Dashboard summary cards — total beneficiaries, delivered, in progress, rescheduled, at-risk/breached.</w:t>
      </w:r>
    </w:p>
    <w:p w14:paraId="4E747938" w14:textId="41F5C6C7" w:rsidR="007505A5" w:rsidRDefault="00000000">
      <w:pPr>
        <w:pStyle w:val="ListParagraph"/>
        <w:numPr>
          <w:ilvl w:val="0"/>
          <w:numId w:val="2"/>
        </w:numPr>
        <w:spacing w:after="60"/>
      </w:pPr>
      <w:r>
        <w:t xml:space="preserve">Search and filter — by name, </w:t>
      </w:r>
      <w:r w:rsidR="00854186">
        <w:t>Pincode</w:t>
      </w:r>
      <w:r>
        <w:t>, district, mobile number, status, reschedule/grievance flag.</w:t>
      </w:r>
    </w:p>
    <w:p w14:paraId="655B38F3" w14:textId="77777777" w:rsidR="007505A5" w:rsidRDefault="00000000">
      <w:pPr>
        <w:pStyle w:val="ListParagraph"/>
        <w:numPr>
          <w:ilvl w:val="0"/>
          <w:numId w:val="2"/>
        </w:numPr>
        <w:spacing w:after="60"/>
      </w:pPr>
      <w:r>
        <w:t>Colour-coded status indicators, including distinct tags for rescheduled deliveries and open grievance cases.</w:t>
      </w:r>
    </w:p>
    <w:p w14:paraId="77A4B9C9" w14:textId="77777777" w:rsidR="007505A5" w:rsidRDefault="00000000">
      <w:pPr>
        <w:pStyle w:val="ListParagraph"/>
        <w:numPr>
          <w:ilvl w:val="0"/>
          <w:numId w:val="2"/>
        </w:numPr>
        <w:spacing w:after="60"/>
      </w:pPr>
      <w:r>
        <w:t>One-click delivery certificate export per beneficiary.</w:t>
      </w:r>
    </w:p>
    <w:p w14:paraId="0578495C" w14:textId="77777777" w:rsidR="007505A5" w:rsidRDefault="00000000">
      <w:pPr>
        <w:pStyle w:val="ListParagraph"/>
        <w:numPr>
          <w:ilvl w:val="0"/>
          <w:numId w:val="2"/>
        </w:numPr>
        <w:spacing w:after="60"/>
      </w:pPr>
      <w:r>
        <w:t>Full batch/upload history view.</w:t>
      </w:r>
    </w:p>
    <w:p w14:paraId="432A5F97" w14:textId="77777777" w:rsidR="00854186" w:rsidRDefault="00854186">
      <w:pPr>
        <w:pStyle w:val="Heading2"/>
        <w:spacing w:before="220" w:after="100"/>
        <w:rPr>
          <w:b/>
          <w:bCs/>
          <w:color w:val="1E2761"/>
          <w:sz w:val="24"/>
          <w:szCs w:val="24"/>
        </w:rPr>
      </w:pPr>
    </w:p>
    <w:p w14:paraId="1DD9A681" w14:textId="77777777" w:rsidR="00854186" w:rsidRDefault="00854186">
      <w:pPr>
        <w:pStyle w:val="Heading2"/>
        <w:spacing w:before="220" w:after="100"/>
        <w:rPr>
          <w:b/>
          <w:bCs/>
          <w:color w:val="1E2761"/>
          <w:sz w:val="24"/>
          <w:szCs w:val="24"/>
        </w:rPr>
      </w:pPr>
    </w:p>
    <w:p w14:paraId="72A31321" w14:textId="4BA1EBA3" w:rsidR="007505A5" w:rsidRDefault="00000000">
      <w:pPr>
        <w:pStyle w:val="Heading2"/>
        <w:spacing w:before="220" w:after="100"/>
      </w:pPr>
      <w:r>
        <w:rPr>
          <w:b/>
          <w:bCs/>
          <w:color w:val="1E2761"/>
          <w:sz w:val="24"/>
          <w:szCs w:val="24"/>
        </w:rPr>
        <w:lastRenderedPageBreak/>
        <w:t>9.2 For Titan (CBG Finance + developers)</w:t>
      </w:r>
    </w:p>
    <w:p w14:paraId="7521C87B" w14:textId="77777777" w:rsidR="007505A5" w:rsidRDefault="00000000">
      <w:pPr>
        <w:pStyle w:val="ListParagraph"/>
        <w:numPr>
          <w:ilvl w:val="0"/>
          <w:numId w:val="2"/>
        </w:numPr>
        <w:spacing w:after="60"/>
      </w:pPr>
      <w:r>
        <w:t>Reverse lookup by coin serial number or AWB.</w:t>
      </w:r>
    </w:p>
    <w:p w14:paraId="2C14FB50" w14:textId="77777777" w:rsidR="007505A5" w:rsidRDefault="00000000">
      <w:pPr>
        <w:pStyle w:val="ListParagraph"/>
        <w:numPr>
          <w:ilvl w:val="0"/>
          <w:numId w:val="2"/>
        </w:numPr>
        <w:spacing w:after="60"/>
      </w:pPr>
      <w:r>
        <w:t>Export presets — delivered this month, pending, rescheduled, open grievances.</w:t>
      </w:r>
    </w:p>
    <w:p w14:paraId="3BFA03CE" w14:textId="77777777" w:rsidR="007505A5" w:rsidRDefault="00000000">
      <w:pPr>
        <w:pStyle w:val="ListParagraph"/>
        <w:numPr>
          <w:ilvl w:val="0"/>
          <w:numId w:val="2"/>
        </w:numPr>
        <w:spacing w:after="60"/>
      </w:pPr>
      <w:r>
        <w:t>Activity log of who exported or viewed sensitive records and when.</w:t>
      </w:r>
    </w:p>
    <w:p w14:paraId="0170C437" w14:textId="77777777" w:rsidR="007505A5" w:rsidRDefault="00000000">
      <w:pPr>
        <w:pStyle w:val="Heading2"/>
        <w:spacing w:before="220" w:after="100"/>
      </w:pPr>
      <w:r>
        <w:rPr>
          <w:b/>
          <w:bCs/>
          <w:color w:val="1E2761"/>
          <w:sz w:val="24"/>
          <w:szCs w:val="24"/>
        </w:rPr>
        <w:t>9.3 Shared, cross-cutting</w:t>
      </w:r>
    </w:p>
    <w:p w14:paraId="5E24254E" w14:textId="77777777" w:rsidR="007505A5" w:rsidRDefault="00000000">
      <w:pPr>
        <w:pStyle w:val="ListParagraph"/>
        <w:numPr>
          <w:ilvl w:val="0"/>
          <w:numId w:val="2"/>
        </w:numPr>
        <w:spacing w:after="60"/>
      </w:pPr>
      <w:r>
        <w:t>Consistent timestamp format (IST, unambiguous date format).</w:t>
      </w:r>
    </w:p>
    <w:p w14:paraId="2BB80B70" w14:textId="77777777" w:rsidR="007505A5" w:rsidRDefault="00000000">
      <w:pPr>
        <w:pStyle w:val="ListParagraph"/>
        <w:numPr>
          <w:ilvl w:val="0"/>
          <w:numId w:val="2"/>
        </w:numPr>
        <w:spacing w:after="60"/>
      </w:pPr>
      <w:r>
        <w:t>Mobile-responsive views.</w:t>
      </w:r>
    </w:p>
    <w:p w14:paraId="4E9B8E6B" w14:textId="77777777" w:rsidR="007505A5" w:rsidRDefault="00000000">
      <w:pPr>
        <w:pStyle w:val="ListParagraph"/>
        <w:numPr>
          <w:ilvl w:val="0"/>
          <w:numId w:val="2"/>
        </w:numPr>
        <w:spacing w:after="60"/>
      </w:pPr>
      <w:r>
        <w:t>Print-friendly single-beneficiary view.</w:t>
      </w:r>
    </w:p>
    <w:p w14:paraId="40B38AB1" w14:textId="77777777" w:rsidR="007505A5" w:rsidRDefault="00000000">
      <w:pPr>
        <w:pStyle w:val="ListParagraph"/>
        <w:numPr>
          <w:ilvl w:val="0"/>
          <w:numId w:val="2"/>
        </w:numPr>
        <w:spacing w:after="60"/>
      </w:pPr>
      <w:r>
        <w:t>Contact &amp; helpline directory always accessible from the main navigation.</w:t>
      </w:r>
    </w:p>
    <w:p w14:paraId="42DC90C0" w14:textId="77777777" w:rsidR="007505A5" w:rsidRDefault="00000000">
      <w:pPr>
        <w:pStyle w:val="Heading1"/>
        <w:spacing w:before="320" w:after="150"/>
      </w:pPr>
      <w:r>
        <w:rPr>
          <w:b/>
          <w:bCs/>
          <w:color w:val="1E2761"/>
        </w:rPr>
        <w:t>10. Reference</w:t>
      </w:r>
    </w:p>
    <w:p w14:paraId="22A9F789" w14:textId="77777777" w:rsidR="007505A5" w:rsidRDefault="00000000">
      <w:pPr>
        <w:spacing w:after="120"/>
      </w:pPr>
      <w:r>
        <w:rPr>
          <w:i/>
          <w:iCs/>
          <w:color w:val="5F5E5A"/>
        </w:rPr>
        <w:t>Source: original BRD v1.0 (3 July 2026); Sequel Last-Mile Delivery Process deck; working discussion and finalized scope (August 2026); team clarification responses on open questions.</w:t>
      </w:r>
    </w:p>
    <w:sectPr w:rsidR="007505A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E8B"/>
    <w:multiLevelType w:val="hybridMultilevel"/>
    <w:tmpl w:val="EE9ED5C4"/>
    <w:lvl w:ilvl="0" w:tplc="3E26BFA4">
      <w:start w:val="1"/>
      <w:numFmt w:val="bullet"/>
      <w:lvlText w:val="●"/>
      <w:lvlJc w:val="left"/>
      <w:pPr>
        <w:ind w:left="720" w:hanging="360"/>
      </w:pPr>
    </w:lvl>
    <w:lvl w:ilvl="1" w:tplc="67DE1906">
      <w:start w:val="1"/>
      <w:numFmt w:val="bullet"/>
      <w:lvlText w:val="○"/>
      <w:lvlJc w:val="left"/>
      <w:pPr>
        <w:ind w:left="1440" w:hanging="360"/>
      </w:pPr>
    </w:lvl>
    <w:lvl w:ilvl="2" w:tplc="66821C04">
      <w:start w:val="1"/>
      <w:numFmt w:val="bullet"/>
      <w:lvlText w:val="■"/>
      <w:lvlJc w:val="left"/>
      <w:pPr>
        <w:ind w:left="2160" w:hanging="360"/>
      </w:pPr>
    </w:lvl>
    <w:lvl w:ilvl="3" w:tplc="1DD27B2C">
      <w:start w:val="1"/>
      <w:numFmt w:val="bullet"/>
      <w:lvlText w:val="●"/>
      <w:lvlJc w:val="left"/>
      <w:pPr>
        <w:ind w:left="2880" w:hanging="360"/>
      </w:pPr>
    </w:lvl>
    <w:lvl w:ilvl="4" w:tplc="B66E49D8">
      <w:start w:val="1"/>
      <w:numFmt w:val="bullet"/>
      <w:lvlText w:val="○"/>
      <w:lvlJc w:val="left"/>
      <w:pPr>
        <w:ind w:left="3600" w:hanging="360"/>
      </w:pPr>
    </w:lvl>
    <w:lvl w:ilvl="5" w:tplc="4EB6ED40">
      <w:start w:val="1"/>
      <w:numFmt w:val="bullet"/>
      <w:lvlText w:val="■"/>
      <w:lvlJc w:val="left"/>
      <w:pPr>
        <w:ind w:left="4320" w:hanging="360"/>
      </w:pPr>
    </w:lvl>
    <w:lvl w:ilvl="6" w:tplc="3F4E230A">
      <w:start w:val="1"/>
      <w:numFmt w:val="bullet"/>
      <w:lvlText w:val="●"/>
      <w:lvlJc w:val="left"/>
      <w:pPr>
        <w:ind w:left="5040" w:hanging="360"/>
      </w:pPr>
    </w:lvl>
    <w:lvl w:ilvl="7" w:tplc="961EA56C">
      <w:start w:val="1"/>
      <w:numFmt w:val="bullet"/>
      <w:lvlText w:val="●"/>
      <w:lvlJc w:val="left"/>
      <w:pPr>
        <w:ind w:left="5760" w:hanging="360"/>
      </w:pPr>
    </w:lvl>
    <w:lvl w:ilvl="8" w:tplc="BB5674C4">
      <w:start w:val="1"/>
      <w:numFmt w:val="bullet"/>
      <w:lvlText w:val="●"/>
      <w:lvlJc w:val="left"/>
      <w:pPr>
        <w:ind w:left="6480" w:hanging="360"/>
      </w:pPr>
    </w:lvl>
  </w:abstractNum>
  <w:abstractNum w:abstractNumId="1" w15:restartNumberingAfterBreak="0">
    <w:nsid w:val="7AAB412C"/>
    <w:multiLevelType w:val="hybridMultilevel"/>
    <w:tmpl w:val="011A8A3E"/>
    <w:lvl w:ilvl="0" w:tplc="F73A24FE">
      <w:start w:val="1"/>
      <w:numFmt w:val="bullet"/>
      <w:lvlText w:val="•"/>
      <w:lvlJc w:val="left"/>
      <w:pPr>
        <w:ind w:left="360" w:hanging="260"/>
      </w:pPr>
    </w:lvl>
    <w:lvl w:ilvl="1" w:tplc="79F0778E">
      <w:start w:val="1"/>
      <w:numFmt w:val="bullet"/>
      <w:lvlText w:val="–"/>
      <w:lvlJc w:val="left"/>
      <w:pPr>
        <w:ind w:left="720" w:hanging="260"/>
      </w:pPr>
    </w:lvl>
    <w:lvl w:ilvl="2" w:tplc="12BAAEF8">
      <w:numFmt w:val="decimal"/>
      <w:lvlText w:val=""/>
      <w:lvlJc w:val="left"/>
    </w:lvl>
    <w:lvl w:ilvl="3" w:tplc="0356594C">
      <w:numFmt w:val="decimal"/>
      <w:lvlText w:val=""/>
      <w:lvlJc w:val="left"/>
    </w:lvl>
    <w:lvl w:ilvl="4" w:tplc="17E886C2">
      <w:numFmt w:val="decimal"/>
      <w:lvlText w:val=""/>
      <w:lvlJc w:val="left"/>
    </w:lvl>
    <w:lvl w:ilvl="5" w:tplc="503A5B56">
      <w:numFmt w:val="decimal"/>
      <w:lvlText w:val=""/>
      <w:lvlJc w:val="left"/>
    </w:lvl>
    <w:lvl w:ilvl="6" w:tplc="83806158">
      <w:numFmt w:val="decimal"/>
      <w:lvlText w:val=""/>
      <w:lvlJc w:val="left"/>
    </w:lvl>
    <w:lvl w:ilvl="7" w:tplc="DF58BEFC">
      <w:numFmt w:val="decimal"/>
      <w:lvlText w:val=""/>
      <w:lvlJc w:val="left"/>
    </w:lvl>
    <w:lvl w:ilvl="8" w:tplc="3948F254">
      <w:numFmt w:val="decimal"/>
      <w:lvlText w:val=""/>
      <w:lvlJc w:val="left"/>
    </w:lvl>
  </w:abstractNum>
  <w:num w:numId="1" w16cid:durableId="2069762266">
    <w:abstractNumId w:val="0"/>
    <w:lvlOverride w:ilvl="0">
      <w:startOverride w:val="1"/>
    </w:lvlOverride>
  </w:num>
  <w:num w:numId="2" w16cid:durableId="6551876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A5"/>
    <w:rsid w:val="00375420"/>
    <w:rsid w:val="004F7F2B"/>
    <w:rsid w:val="006A3F2F"/>
    <w:rsid w:val="007505A5"/>
    <w:rsid w:val="00854186"/>
    <w:rsid w:val="00DC6D83"/>
    <w:rsid w:val="00E127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172B6F5"/>
  <w15:docId w15:val="{4C56AC84-937D-1648-9E3D-4DACC440D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2331</Words>
  <Characters>13290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Biswal, Piyush</cp:lastModifiedBy>
  <cp:revision>2</cp:revision>
  <dcterms:created xsi:type="dcterms:W3CDTF">2026-08-14T18:48:00Z</dcterms:created>
  <dcterms:modified xsi:type="dcterms:W3CDTF">2026-08-17T04:40:00Z</dcterms:modified>
</cp:coreProperties>
</file>