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40"/>
          <w:szCs w:val="40"/>
        </w:rPr>
        <w:t xml:space="preserve">BUSINESS REQUIREMENTS DOCUMENT</w:t>
      </w:r>
    </w:p>
    <w:p>
      <w:pPr>
        <w:spacing w:after="120"/>
      </w:pPr>
      <w:r>
        <w:rPr>
          <w:b/>
          <w:bCs/>
          <w:sz w:val="26"/>
          <w:szCs w:val="26"/>
        </w:rPr>
        <w:t xml:space="preserve">Gold Coin Delivery Platform — Finalized Scope of Work</w:t>
      </w:r>
    </w:p>
    <w:p>
      <w:pPr>
        <w:spacing w:after="120"/>
      </w:pPr>
      <w:r>
        <w:rPr>
          <w:color w:val="5F5E5A"/>
          <w:sz w:val="20"/>
          <w:szCs w:val="20"/>
        </w:rPr>
        <w:t xml:space="preserve">Tamil Nadu Government Gold Coin Scheme — Titan Company Limited | Version 1.7 | Supersedes Approach A/B working drafts</w:t>
      </w:r>
    </w:p>
    <w:p>
      <w:pPr>
        <w:pStyle w:val="Heading1"/>
        <w:spacing w:after="150" w:before="320"/>
      </w:pPr>
      <w:r>
        <w:rPr>
          <w:b/>
          <w:bCs/>
          <w:color w:val="1E2761"/>
        </w:rPr>
        <w:t xml:space="preserve">1. Purpose &amp; status</w:t>
      </w:r>
    </w:p>
    <w:p>
      <w:pPr>
        <w:spacing w:after="120"/>
      </w:pPr>
      <w:r>
        <w:t xml:space="preserve">This document replaces the earlier Approach A / Approach B working drafts with a single, finalized scope of work. Approach A (pre-assignment before dispatch, Titan-built delivery app) has been scrapped as not feasible. This BRD reflects one platform design, built around Sequel executing delivery end-to-end and reporting back to Titan's platform as the system of record.</w:t>
      </w:r>
    </w:p>
    <w:p>
      <w:pPr>
        <w:spacing w:after="120"/>
      </w:pPr>
      <w:r>
        <w:t xml:space="preserve">Open items requiring confirmation from CBG Finance, TN Government, and/or Sequel are consolidated in Section 9, grouped by category and by which team owns the answer, with a blank Outcome column to be filled in as each is resolved.</w:t>
      </w:r>
    </w:p>
    <w:p>
      <w:pPr>
        <w:pStyle w:val="Heading1"/>
        <w:spacing w:after="150" w:before="320"/>
      </w:pPr>
      <w:r>
        <w:rPr>
          <w:b/>
          <w:bCs/>
          <w:color w:val="1E2761"/>
        </w:rPr>
        <w:t xml:space="preserve">2. Background &amp; rationale</w:t>
      </w:r>
    </w:p>
    <w:p>
      <w:pPr>
        <w:pStyle w:val="Heading2"/>
        <w:spacing w:after="100" w:before="220"/>
      </w:pPr>
      <w:r>
        <w:rPr>
          <w:b/>
          <w:bCs/>
          <w:color w:val="1E2761"/>
          <w:sz w:val="24"/>
          <w:szCs w:val="24"/>
        </w:rPr>
        <w:t xml:space="preserve">2.1 The scheme this platform serves</w:t>
      </w:r>
    </w:p>
    <w:p>
      <w:pPr>
        <w:spacing w:after="120"/>
      </w:pPr>
      <w:r>
        <w:t xml:space="preserve">The Government of Tamil Nadu, through its Social Welfare Department, provides 8 grams of 24-carat gold to eligible newlywed brides under its marriage assistance program. This is a welfare entitlement, not a commercial product — every coin has a named recipient decided by the government, and the government's core requirement is proof that the specific person entitled to a specific coin actually received it, not merely that “a delivery happened.”</w:t>
      </w:r>
    </w:p>
    <w:p>
      <w:pPr>
        <w:spacing w:after="120"/>
      </w:pPr>
      <w:r>
        <w:t xml:space="preserve">Titan Company Limited was engaged, through a government tender, as the manufacturing and fulfilment partner responsible for producing the coins and getting each one securely into the hands of the correct beneficiary.</w:t>
      </w:r>
    </w:p>
    <w:p>
      <w:pPr>
        <w:pStyle w:val="Heading2"/>
        <w:spacing w:after="100" w:before="220"/>
      </w:pPr>
      <w:r>
        <w:rPr>
          <w:b/>
          <w:bCs/>
          <w:color w:val="1E2761"/>
          <w:sz w:val="24"/>
          <w:szCs w:val="24"/>
        </w:rPr>
        <w:t xml:space="preserve">2.2 Why this needed a platform, not a manual process</w:t>
      </w:r>
    </w:p>
    <w:p>
      <w:pPr>
        <w:spacing w:after="120"/>
      </w:pPr>
      <w:r>
        <w:t xml:space="preserve">At the volumes involved — potentially tens of thousands of beneficiaries per monthly cycle, spread across every district in Tamil Nadu including remote and low-connectivity areas — coordinating this by phone calls, spreadsheets, and manual reconciliation would not hold up. Three requirements in particular cannot be met without a system of record:</w:t>
      </w:r>
    </w:p>
    <w:p>
      <w:pPr>
        <w:pStyle w:val="ListParagraph"/>
        <w:numPr>
          <w:ilvl w:val="0"/>
          <w:numId w:val="2"/>
        </w:numPr>
        <w:spacing w:after="60"/>
      </w:pPr>
      <w:r>
        <w:t xml:space="preserve">Verified identity at handover — the government's non-negotiable rule is that a coin goes only to the verified beneficiary, never a family member, even if that person has every code and credential. That requires a structured, auditable verification step, not a courier's judgment call.</w:t>
      </w:r>
    </w:p>
    <w:p>
      <w:pPr>
        <w:pStyle w:val="ListParagraph"/>
        <w:numPr>
          <w:ilvl w:val="0"/>
          <w:numId w:val="2"/>
        </w:numPr>
        <w:spacing w:after="60"/>
      </w:pPr>
      <w:r>
        <w:t xml:space="preserve">A defensible audit trail — for a state welfare scheme distributing physical gold, the government and Titan both need to be able to answer, for any beneficiary, exactly when their coin was delivered, to whom, with what proof, months after the fact if a dispute or audit arises.</w:t>
      </w:r>
    </w:p>
    <w:p>
      <w:pPr>
        <w:pStyle w:val="ListParagraph"/>
        <w:numPr>
          <w:ilvl w:val="0"/>
          <w:numId w:val="2"/>
        </w:numPr>
        <w:spacing w:after="60"/>
      </w:pPr>
      <w:r>
        <w:t xml:space="preserve">Visibility without manual chasing — the government needs to see delivery progress across the whole state without calling Titan for a status update, and Titan needs the same visibility into a delivery process it does not itself execute.</w:t>
      </w:r>
    </w:p>
    <w:p>
      <w:pPr>
        <w:spacing w:after="120"/>
      </w:pPr>
      <w:r>
        <w:t xml:space="preserve">The platform exists to make those three things structurally true — built into how data moves, not dependent on someone remembering to follow a checklist.</w:t>
      </w:r>
    </w:p>
    <w:p>
      <w:pPr>
        <w:pStyle w:val="Heading2"/>
        <w:spacing w:after="100" w:before="220"/>
      </w:pPr>
      <w:r>
        <w:rPr>
          <w:b/>
          <w:bCs/>
          <w:color w:val="1E2761"/>
          <w:sz w:val="24"/>
          <w:szCs w:val="24"/>
        </w:rPr>
        <w:t xml:space="preserve">2.3 Why a logistics partner executes delivery, not Titan directly</w:t>
      </w:r>
    </w:p>
    <w:p>
      <w:pPr>
        <w:spacing w:after="120"/>
      </w:pPr>
      <w:r>
        <w:t xml:space="preserve">The original BRD (v1.0) scoped Titan to build its own delivery-agent application, used by field staff to run verification and capture proof of delivery. In practice, Sequel — an established last-mile logistics provider — was engaged as the delivery partner, and already operates a mature, field-tested app doing exactly this kind of verified handover for other clients.</w:t>
      </w:r>
    </w:p>
    <w:p>
      <w:pPr>
        <w:spacing w:after="120"/>
      </w:pPr>
      <w:r>
        <w:t xml:space="preserve">Rebuilding that capability inside Titan's platform would have meant months of field-testing a brand-new mobile app under a live government tender timeline, to duplicate something Sequel's app already does reliably. The scope was deliberately narrowed so Titan's platform focuses on what only Titan can own — beneficiary data intake, order management, and being the authoritative system of record — while Sequel executes delivery on infrastructure that already works. This is why Approach A was scrapped and the finalized scope in this document reflects Sequel-executed delivery throughout.</w:t>
      </w:r>
    </w:p>
    <w:p>
      <w:pPr>
        <w:pStyle w:val="Heading2"/>
        <w:spacing w:after="100" w:before="220"/>
      </w:pPr>
      <w:r>
        <w:rPr>
          <w:b/>
          <w:bCs/>
          <w:color w:val="1E2761"/>
          <w:sz w:val="24"/>
          <w:szCs w:val="24"/>
        </w:rPr>
        <w:t xml:space="preserve">2.4 Why speed mattered, and why this was built with AI assistance</w:t>
      </w:r>
    </w:p>
    <w:p>
      <w:pPr>
        <w:spacing w:after="120"/>
      </w:pPr>
      <w:r>
        <w:t xml:space="preserve">This platform was commissioned under real tender timeline pressure — the scheme could not wait for a conventional year-long enterprise build cycle. The explicit intent from the outset was to leverage AI-assisted development to design and build this end-to-end far faster than a traditional process would allow, which is why this BRD itself, the process flow diagrams, and the front-end demo plan were produced iteratively and rapidly rather than through a long, sequential requirements-gathering cycle.</w:t>
      </w:r>
    </w:p>
    <w:p>
      <w:pPr>
        <w:pStyle w:val="Heading2"/>
        <w:spacing w:after="100" w:before="220"/>
      </w:pPr>
      <w:r>
        <w:rPr>
          <w:b/>
          <w:bCs/>
          <w:color w:val="1E2761"/>
          <w:sz w:val="24"/>
          <w:szCs w:val="24"/>
        </w:rPr>
        <w:t xml:space="preserve">2.5 The broader ambition beyond this one scheme</w:t>
      </w:r>
    </w:p>
    <w:p>
      <w:pPr>
        <w:spacing w:after="120"/>
      </w:pPr>
      <w:r>
        <w:t xml:space="preserve">Beyond fulfilling this specific tender, this platform was also framed internally as a potential reusable capability — a verified bulk-delivery and audit platform that Titan's CBG business could offer to other enterprise or government clients with similar needs: distributing a high-value physical item to a large, named list of recipients with mandatory identity verification and a defensible audit trail. Nothing in the current finalized scope (Section 3 onward) is built specifically toward that resale ambition — it is scoped tightly to this scheme — but it is worth stakeholders knowing this context when reviewing priorities.</w:t>
      </w:r>
    </w:p>
    <w:p>
      <w:pPr>
        <w:pStyle w:val="Heading1"/>
        <w:spacing w:after="150" w:before="320"/>
      </w:pPr>
      <w:r>
        <w:rPr>
          <w:b/>
          <w:bCs/>
          <w:color w:val="1E2761"/>
        </w:rPr>
        <w:t xml:space="preserve">3. Scope of work</w:t>
      </w:r>
    </w:p>
    <w:p>
      <w:pPr>
        <w:pStyle w:val="Heading2"/>
        <w:spacing w:after="100" w:before="220"/>
      </w:pPr>
      <w:r>
        <w:rPr>
          <w:b/>
          <w:bCs/>
          <w:color w:val="1E2761"/>
          <w:sz w:val="24"/>
          <w:szCs w:val="24"/>
        </w:rPr>
        <w:t xml:space="preserve">3.1 Beneficiary list intake</w:t>
      </w:r>
    </w:p>
    <w:p>
      <w:pPr>
        <w:spacing w:after="120"/>
      </w:pPr>
      <w:r>
        <w:t xml:space="preserve">TN Govt uploads the beneficiary list to the platform. Each record includes:</w:t>
      </w:r>
    </w:p>
    <w:p>
      <w:pPr>
        <w:pStyle w:val="ListParagraph"/>
        <w:numPr>
          <w:ilvl w:val="0"/>
          <w:numId w:val="2"/>
        </w:numPr>
        <w:spacing w:after="60"/>
      </w:pPr>
      <w:r>
        <w:t xml:space="preserve">Door/House Number</w:t>
      </w:r>
    </w:p>
    <w:p>
      <w:pPr>
        <w:pStyle w:val="ListParagraph"/>
        <w:numPr>
          <w:ilvl w:val="0"/>
          <w:numId w:val="2"/>
        </w:numPr>
        <w:spacing w:after="60"/>
      </w:pPr>
      <w:r>
        <w:t xml:space="preserve">Building Name or Number / Apartment Name / Plot Number</w:t>
      </w:r>
    </w:p>
    <w:p>
      <w:pPr>
        <w:pStyle w:val="ListParagraph"/>
        <w:numPr>
          <w:ilvl w:val="0"/>
          <w:numId w:val="2"/>
        </w:numPr>
        <w:spacing w:after="60"/>
      </w:pPr>
      <w:r>
        <w:t xml:space="preserve">Street Name / Road</w:t>
      </w:r>
    </w:p>
    <w:p>
      <w:pPr>
        <w:pStyle w:val="ListParagraph"/>
        <w:numPr>
          <w:ilvl w:val="0"/>
          <w:numId w:val="2"/>
        </w:numPr>
        <w:spacing w:after="60"/>
      </w:pPr>
      <w:r>
        <w:t xml:space="preserve">Area / Locality</w:t>
      </w:r>
    </w:p>
    <w:p>
      <w:pPr>
        <w:pStyle w:val="ListParagraph"/>
        <w:numPr>
          <w:ilvl w:val="0"/>
          <w:numId w:val="2"/>
        </w:numPr>
        <w:spacing w:after="60"/>
      </w:pPr>
      <w:r>
        <w:t xml:space="preserve">Landmark</w:t>
      </w:r>
    </w:p>
    <w:p>
      <w:pPr>
        <w:pStyle w:val="ListParagraph"/>
        <w:numPr>
          <w:ilvl w:val="0"/>
          <w:numId w:val="2"/>
        </w:numPr>
        <w:spacing w:after="60"/>
      </w:pPr>
      <w:r>
        <w:t xml:space="preserve">Village / Taluk</w:t>
      </w:r>
    </w:p>
    <w:p>
      <w:pPr>
        <w:pStyle w:val="ListParagraph"/>
        <w:numPr>
          <w:ilvl w:val="0"/>
          <w:numId w:val="2"/>
        </w:numPr>
        <w:spacing w:after="60"/>
      </w:pPr>
      <w:r>
        <w:t xml:space="preserve">City / Town</w:t>
      </w:r>
    </w:p>
    <w:p>
      <w:pPr>
        <w:pStyle w:val="ListParagraph"/>
        <w:numPr>
          <w:ilvl w:val="0"/>
          <w:numId w:val="2"/>
        </w:numPr>
        <w:spacing w:after="60"/>
      </w:pPr>
      <w:r>
        <w:t xml:space="preserve">District</w:t>
      </w:r>
    </w:p>
    <w:p>
      <w:pPr>
        <w:pStyle w:val="ListParagraph"/>
        <w:numPr>
          <w:ilvl w:val="0"/>
          <w:numId w:val="2"/>
        </w:numPr>
        <w:spacing w:after="60"/>
      </w:pPr>
      <w:r>
        <w:t xml:space="preserve">Pincode (6 digits)</w:t>
      </w:r>
    </w:p>
    <w:p>
      <w:pPr>
        <w:pStyle w:val="ListParagraph"/>
        <w:numPr>
          <w:ilvl w:val="0"/>
          <w:numId w:val="2"/>
        </w:numPr>
        <w:spacing w:after="60"/>
      </w:pPr>
      <w:r>
        <w:t xml:space="preserve">Receiver Name</w:t>
      </w:r>
    </w:p>
    <w:p>
      <w:pPr>
        <w:pStyle w:val="ListParagraph"/>
        <w:numPr>
          <w:ilvl w:val="0"/>
          <w:numId w:val="2"/>
        </w:numPr>
        <w:spacing w:after="60"/>
      </w:pPr>
      <w:r>
        <w:t xml:space="preserve">Primary Mobile Number (10-digit) — delivery coordination and OTP verification</w:t>
      </w:r>
    </w:p>
    <w:p>
      <w:pPr>
        <w:pStyle w:val="ListParagraph"/>
        <w:numPr>
          <w:ilvl w:val="0"/>
          <w:numId w:val="2"/>
        </w:numPr>
        <w:spacing w:after="60"/>
      </w:pPr>
      <w:r>
        <w:t xml:space="preserve">Alternate Mobile Number (10-digit) — backup coordination only; no OTP sent here</w:t>
      </w:r>
    </w:p>
    <w:p>
      <w:pPr>
        <w:pStyle w:val="ListParagraph"/>
        <w:numPr>
          <w:ilvl w:val="0"/>
          <w:numId w:val="2"/>
        </w:numPr>
        <w:spacing w:after="60"/>
      </w:pPr>
      <w:r>
        <w:t xml:space="preserve">Identity Verification — last 4 digits of Aadhaar Number</w:t>
      </w:r>
    </w:p>
    <w:p>
      <w:pPr>
        <w:pStyle w:val="ListParagraph"/>
        <w:numPr>
          <w:ilvl w:val="0"/>
          <w:numId w:val="2"/>
        </w:numPr>
        <w:spacing w:after="60"/>
      </w:pPr>
      <w:r>
        <w:t xml:space="preserve">Unique/voucher code — issued by TN Govt to the beneficiary, included in the uploaded file</w:t>
      </w:r>
    </w:p>
    <w:p>
      <w:pPr>
        <w:pStyle w:val="Heading2"/>
        <w:spacing w:after="100" w:before="220"/>
      </w:pPr>
      <w:r>
        <w:rPr>
          <w:b/>
          <w:bCs/>
          <w:color w:val="1E2761"/>
          <w:sz w:val="24"/>
          <w:szCs w:val="24"/>
        </w:rPr>
        <w:t xml:space="preserve">3.2 File validation at upload</w:t>
      </w:r>
    </w:p>
    <w:p>
      <w:pPr>
        <w:spacing w:after="120"/>
      </w:pPr>
      <w:r>
        <w:t xml:space="preserve">Titan performs a basic, format-level check at upload — not an identity or business-rule check (Section 8). This includes mandatory-field presence, format rules (e.g. valid 10-digit mobile numbers), and duplicate-record detection within the file. Every error is surfaced together in a single pass, with the exact row/field location, so TN Govt can correct everything before re-uploading.</w:t>
      </w:r>
    </w:p>
    <w:p>
      <w:pPr>
        <w:pStyle w:val="ListParagraph"/>
        <w:numPr>
          <w:ilvl w:val="0"/>
          <w:numId w:val="2"/>
        </w:numPr>
        <w:spacing w:after="60"/>
      </w:pPr>
      <w:r>
        <w:t xml:space="preserve">A file with any remaining errors is not processed — error records are not considered for order creation until the file is fully clean.</w:t>
      </w:r>
    </w:p>
    <w:p>
      <w:pPr>
        <w:pStyle w:val="ListParagraph"/>
        <w:numPr>
          <w:ilvl w:val="0"/>
          <w:numId w:val="2"/>
        </w:numPr>
        <w:spacing w:after="60"/>
      </w:pPr>
      <w:r>
        <w:t xml:space="preserve">A corrected re-upload is treated as a new, independent batch, not an update to the erroring one.</w:t>
      </w:r>
    </w:p>
    <w:p>
      <w:pPr>
        <w:pStyle w:val="Heading2"/>
        <w:spacing w:after="100" w:before="220"/>
      </w:pPr>
      <w:r>
        <w:rPr>
          <w:b/>
          <w:bCs/>
          <w:color w:val="1E2761"/>
          <w:sz w:val="24"/>
          <w:szCs w:val="24"/>
        </w:rPr>
        <w:t xml:space="preserve">3.3 Batch confirmation gate</w:t>
      </w:r>
    </w:p>
    <w:p>
      <w:pPr>
        <w:spacing w:after="120"/>
      </w:pPr>
      <w:r>
        <w:t xml:space="preserve">Once a file passes validation with no errors, TN Govt must explicitly confirm the batch within the platform before any order is created. This confirmation step is a deliberate gate — a clean file alone does not trigger processing.</w:t>
      </w:r>
    </w:p>
    <w:p>
      <w:pPr>
        <w:pStyle w:val="Heading2"/>
        <w:spacing w:after="100" w:before="220"/>
      </w:pPr>
      <w:r>
        <w:rPr>
          <w:b/>
          <w:bCs/>
          <w:color w:val="1E2761"/>
          <w:sz w:val="24"/>
          <w:szCs w:val="24"/>
        </w:rPr>
        <w:t xml:space="preserve">3.4 Batch &amp; order creation</w:t>
      </w:r>
    </w:p>
    <w:p>
      <w:pPr>
        <w:pStyle w:val="ListParagraph"/>
        <w:numPr>
          <w:ilvl w:val="0"/>
          <w:numId w:val="2"/>
        </w:numPr>
        <w:spacing w:after="60"/>
      </w:pPr>
      <w:r>
        <w:t xml:space="preserve">Each confirmed upload is one independent batch, with its own SLA — no relationship to any other batch.</w:t>
      </w:r>
    </w:p>
    <w:p>
      <w:pPr>
        <w:pStyle w:val="ListParagraph"/>
        <w:numPr>
          <w:ilvl w:val="0"/>
          <w:numId w:val="2"/>
        </w:numPr>
        <w:spacing w:after="60"/>
      </w:pPr>
      <w:r>
        <w:t xml:space="preserve">One order record is created per beneficiary within that batch, each with a Titan-generated order ID and order details.</w:t>
      </w:r>
    </w:p>
    <w:p>
      <w:pPr>
        <w:pStyle w:val="ListParagraph"/>
        <w:numPr>
          <w:ilvl w:val="0"/>
          <w:numId w:val="2"/>
        </w:numPr>
        <w:spacing w:after="60"/>
      </w:pPr>
      <w:r>
        <w:t xml:space="preserve">The order is the beneficiary record itself: one object, whose status mirrors the Sequel delivery status directly.</w:t>
      </w:r>
    </w:p>
    <w:p>
      <w:pPr>
        <w:pStyle w:val="ListParagraph"/>
        <w:numPr>
          <w:ilvl w:val="0"/>
          <w:numId w:val="2"/>
        </w:numPr>
        <w:spacing w:after="60"/>
      </w:pPr>
      <w:r>
        <w:t xml:space="preserve">A billing address (TN Govt) is captured on each order for structured process consistency only — no connection to Titan's OMS or any pricing system.</w:t>
      </w:r>
    </w:p>
    <w:p>
      <w:pPr>
        <w:pStyle w:val="ListParagraph"/>
        <w:numPr>
          <w:ilvl w:val="0"/>
          <w:numId w:val="2"/>
        </w:numPr>
        <w:spacing w:after="60"/>
      </w:pPr>
      <w:r>
        <w:t xml:space="preserve">Titan's platform does not track physical inventory itself — stock allocation is handled by Oracle (3.5), not visible as an inventory ledger within this platform.</w:t>
      </w:r>
    </w:p>
    <w:p>
      <w:pPr>
        <w:pStyle w:val="Heading2"/>
        <w:spacing w:after="100" w:before="220"/>
      </w:pPr>
      <w:r>
        <w:rPr>
          <w:b/>
          <w:bCs/>
          <w:color w:val="1E2761"/>
          <w:sz w:val="24"/>
          <w:szCs w:val="24"/>
        </w:rPr>
        <w:t xml:space="preserve">3.5 Stock allocation via Oracle</w:t>
      </w:r>
    </w:p>
    <w:p>
      <w:pPr>
        <w:spacing w:after="120"/>
      </w:pPr>
      <w:r>
        <w:t xml:space="preserve">After orders are created, Titan sends the total coin quantity required for the batch to Oracle — an aggregate number only, with no beneficiary-level data included. Oracle allocates the quantity from existing stock; if insufficient, from boutique replenishment stock; if still insufficient, by manufacturing the shortfall, which can take 1–2 days. Once allocated, Oracle assigns the coin stock to Sequel.</w:t>
      </w:r>
    </w:p>
    <w:p>
      <w:pPr>
        <w:spacing w:after="120"/>
      </w:pPr>
      <w:r>
        <w:t xml:space="preserve">This runs independently of the Sequel handoff in 3.6 — Titan does not wait for Oracle's allocation to complete before sending beneficiary details to Sequel. Coin availability is guaranteed as part of Oracle's process, so the platform proceeds on that basis rather than gating on a confirmation signal.</w:t>
      </w:r>
    </w:p>
    <w:p>
      <w:pPr>
        <w:spacing w:after="160"/>
      </w:pPr>
      <w:r>
        <w:rPr>
          <w:i/>
          <w:iCs/>
          <w:color w:val="5F5E5A"/>
          <w:sz w:val="20"/>
          <w:szCs w:val="20"/>
        </w:rPr>
        <w:t xml:space="preserve">The 7-day/14-day SLA was originally set with this potential manufacturing step already factored in — no separate SLA adjustment is required. No visibility into this stage (e.g. an “allocating” or “manufacturing” status) is required on the platform for now.</w:t>
      </w:r>
    </w:p>
    <w:p>
      <w:pPr>
        <w:pStyle w:val="Heading2"/>
        <w:spacing w:after="100" w:before="220"/>
      </w:pPr>
      <w:r>
        <w:rPr>
          <w:b/>
          <w:bCs/>
          <w:color w:val="1E2761"/>
          <w:sz w:val="24"/>
          <w:szCs w:val="24"/>
        </w:rPr>
        <w:t xml:space="preserve">3.6 Handoff to Sequel</w:t>
      </w:r>
    </w:p>
    <w:p>
      <w:pPr>
        <w:spacing w:after="120"/>
      </w:pPr>
      <w:r>
        <w:t xml:space="preserve">Once orders are created, Titan sends the full beneficiary list to Sequel via API/webhook — regardless of Oracle's allocation status, in parallel with 3.5, not gated on it. Sequel owns coordination and delivery from this point: outbound calling, travel, 3-step verification, proof of delivery, and handover. Delivery is re-attempted up to 2 times as standard, with a 3rd attempt permitted under special circumstances.</w:t>
      </w:r>
    </w:p>
    <w:p>
      <w:pPr>
        <w:pStyle w:val="Heading2"/>
        <w:spacing w:after="100" w:before="220"/>
      </w:pPr>
      <w:r>
        <w:rPr>
          <w:b/>
          <w:bCs/>
          <w:color w:val="1E2761"/>
          <w:sz w:val="24"/>
          <w:szCs w:val="24"/>
        </w:rPr>
        <w:t xml:space="preserve">3.7 Packing &amp; AWB</w:t>
      </w:r>
    </w:p>
    <w:p>
      <w:pPr>
        <w:spacing w:after="120"/>
      </w:pPr>
      <w:r>
        <w:t xml:space="preserve">Once Oracle assigns the allocated coin stock to Sequel, packing is carried out jointly by Titan and Sequel at the base location. The coin serial number is scanned and stored digitally by Sequel at this stage — but it is not yet tagged to any beneficiary. That link is created later, at the point of delivery (Section 3.11). Sequel generates an AWB per order and shares it with Titan, which stores it against the corresponding beneficiary.</w:t>
      </w:r>
    </w:p>
    <w:p>
      <w:pPr>
        <w:spacing w:after="160"/>
      </w:pPr>
      <w:r>
        <w:rPr>
          <w:i/>
          <w:iCs/>
          <w:color w:val="5F5E5A"/>
          <w:sz w:val="20"/>
          <w:szCs w:val="20"/>
        </w:rPr>
        <w:t xml:space="preserve">Titan's platform does not perform or track any part of the physical pick-pack process itself — only the AWB and serial data that Sequel shares afterward. See Section 8.</w:t>
      </w:r>
    </w:p>
    <w:p>
      <w:pPr>
        <w:pStyle w:val="Heading2"/>
        <w:spacing w:after="100" w:before="220"/>
      </w:pPr>
      <w:r>
        <w:rPr>
          <w:b/>
          <w:bCs/>
          <w:color w:val="1E2761"/>
          <w:sz w:val="24"/>
          <w:szCs w:val="24"/>
        </w:rPr>
        <w:t xml:space="preserve">3.8 Shipping &amp; delivery coordination</w:t>
      </w:r>
    </w:p>
    <w:p>
      <w:pPr>
        <w:spacing w:after="120"/>
      </w:pPr>
      <w:r>
        <w:t xml:space="preserve">Sequel ships the packed coins to the relevant delivery hub, then begins delivery by calling the beneficiary to confirm availability.</w:t>
      </w:r>
    </w:p>
    <w:p>
      <w:pPr>
        <w:pStyle w:val="Heading2"/>
        <w:spacing w:after="100" w:before="220"/>
      </w:pPr>
      <w:r>
        <w:rPr>
          <w:b/>
          <w:bCs/>
          <w:color w:val="1E2761"/>
          <w:sz w:val="24"/>
          <w:szCs w:val="24"/>
        </w:rPr>
        <w:t xml:space="preserve">3.9 Reschedule handling</w:t>
      </w:r>
    </w:p>
    <w:p>
      <w:pPr>
        <w:spacing w:after="120"/>
      </w:pPr>
      <w:r>
        <w:t xml:space="preserve">A delivery date can be rescheduled in two situations: the beneficiary is unavailable on the originally planned date during the availability call, or something prevents completion during an actual delivery attempt. In both cases, the platform shows the new delivery date, a “Rescheduled” tag, and the reason. A rescheduled delivery is no longer measured against the original SLA window.</w:t>
      </w:r>
    </w:p>
    <w:p>
      <w:pPr>
        <w:spacing w:after="160"/>
      </w:pPr>
      <w:r>
        <w:rPr>
          <w:i/>
          <w:iCs/>
          <w:color w:val="5F5E5A"/>
          <w:sz w:val="20"/>
          <w:szCs w:val="20"/>
        </w:rPr>
        <w:t xml:space="preserve">The fixed set of reschedule reason codes is to be defined and shared by Sequel — see Section 9.</w:t>
      </w:r>
    </w:p>
    <w:p>
      <w:pPr>
        <w:pStyle w:val="Heading2"/>
        <w:spacing w:after="100" w:before="220"/>
      </w:pPr>
      <w:r>
        <w:rPr>
          <w:b/>
          <w:bCs/>
          <w:color w:val="1E2761"/>
          <w:sz w:val="24"/>
          <w:szCs w:val="24"/>
        </w:rPr>
        <w:t xml:space="preserve">3.10 Delivery tracking</w:t>
      </w:r>
    </w:p>
    <w:p>
      <w:pPr>
        <w:spacing w:after="120"/>
      </w:pPr>
      <w:r>
        <w:t xml:space="preserve">Sequel pushes status updates to Titan via API whenever a status changes. The status set mirrors Sequel's own tracker: Pickup requested, Pickup accepted and created, Shipment picked up, Shipment reached origin hub, Delivery assistant assigned, Shipment out for delivery, Shipment successfully delivered, Shipment POD uploaded — each with a timestamp.</w:t>
      </w:r>
    </w:p>
    <w:p>
      <w:pPr>
        <w:spacing w:after="160"/>
      </w:pPr>
      <w:r>
        <w:rPr>
          <w:i/>
          <w:iCs/>
          <w:color w:val="5F5E5A"/>
          <w:sz w:val="20"/>
          <w:szCs w:val="20"/>
        </w:rPr>
        <w:t xml:space="preserve">This covers the successful path only. Failure/exception statuses, and the full set of final end-states, are not yet defined — see Section 9.</w:t>
      </w:r>
    </w:p>
    <w:p>
      <w:pPr>
        <w:pStyle w:val="Heading2"/>
        <w:spacing w:after="100" w:before="220"/>
      </w:pPr>
      <w:r>
        <w:rPr>
          <w:b/>
          <w:bCs/>
          <w:color w:val="1E2761"/>
          <w:sz w:val="24"/>
          <w:szCs w:val="24"/>
        </w:rPr>
        <w:t xml:space="preserve">3.11 3-step verification</w:t>
      </w:r>
    </w:p>
    <w:p>
      <w:pPr>
        <w:spacing w:after="120"/>
      </w:pPr>
      <w:r>
        <w:t xml:space="preserve">At the point of delivery, Sequel carries out 3-step verification: last 4 digits of Aadhaar, mobile OTP, and unique/voucher code match. The platform shows the pass/fail result of each step individually.</w:t>
      </w:r>
    </w:p>
    <w:p>
      <w:pPr>
        <w:spacing w:after="160"/>
      </w:pPr>
      <w:r>
        <w:rPr>
          <w:i/>
          <w:iCs/>
          <w:color w:val="5F5E5A"/>
          <w:sz w:val="20"/>
          <w:szCs w:val="20"/>
        </w:rPr>
        <w:t xml:space="preserve">No downstream action is defined yet for a failed verification step, for any of the three checks. This is deliberately left open — see Section 9.</w:t>
      </w:r>
    </w:p>
    <w:p>
      <w:pPr>
        <w:pStyle w:val="Heading2"/>
        <w:spacing w:after="100" w:before="220"/>
      </w:pPr>
      <w:r>
        <w:rPr>
          <w:b/>
          <w:bCs/>
          <w:color w:val="1E2761"/>
          <w:sz w:val="24"/>
          <w:szCs w:val="24"/>
        </w:rPr>
        <w:t xml:space="preserve">3.12 Proof-of-delivery data</w:t>
      </w:r>
    </w:p>
    <w:p>
      <w:pPr>
        <w:spacing w:after="120"/>
      </w:pPr>
      <w:r>
        <w:t xml:space="preserve">On successful verification, the coin serial is tagged to the beneficiary — this is the point at which the serial-to-beneficiary link is created. Sequel also captures and transmits, via API:</w:t>
      </w:r>
    </w:p>
    <w:p>
      <w:pPr>
        <w:pStyle w:val="ListParagraph"/>
        <w:numPr>
          <w:ilvl w:val="0"/>
          <w:numId w:val="2"/>
        </w:numPr>
        <w:spacing w:after="60"/>
      </w:pPr>
      <w:r>
        <w:t xml:space="preserve">Signature of the beneficiary</w:t>
      </w:r>
    </w:p>
    <w:p>
      <w:pPr>
        <w:pStyle w:val="ListParagraph"/>
        <w:numPr>
          <w:ilvl w:val="0"/>
          <w:numId w:val="2"/>
        </w:numPr>
        <w:spacing w:after="60"/>
      </w:pPr>
      <w:r>
        <w:t xml:space="preserve">Photo of the beneficiary holding the gold coin</w:t>
      </w:r>
    </w:p>
    <w:p>
      <w:pPr>
        <w:pStyle w:val="ListParagraph"/>
        <w:numPr>
          <w:ilvl w:val="0"/>
          <w:numId w:val="2"/>
        </w:numPr>
        <w:spacing w:after="60"/>
      </w:pPr>
      <w:r>
        <w:t xml:space="preserve">GPS / geofence tag of the delivery location</w:t>
      </w:r>
    </w:p>
    <w:p>
      <w:pPr>
        <w:pStyle w:val="ListParagraph"/>
        <w:numPr>
          <w:ilvl w:val="0"/>
          <w:numId w:val="2"/>
        </w:numPr>
        <w:spacing w:after="60"/>
      </w:pPr>
      <w:r>
        <w:t xml:space="preserve">Photo of the beneficiary's government ID</w:t>
      </w:r>
    </w:p>
    <w:p>
      <w:pPr>
        <w:pStyle w:val="Heading2"/>
        <w:spacing w:after="100" w:before="220"/>
      </w:pPr>
      <w:r>
        <w:rPr>
          <w:b/>
          <w:bCs/>
          <w:color w:val="1E2761"/>
          <w:sz w:val="24"/>
          <w:szCs w:val="24"/>
        </w:rPr>
        <w:t xml:space="preserve">3.13 SLA clock &amp; notifications</w:t>
      </w:r>
    </w:p>
    <w:p>
      <w:pPr>
        <w:spacing w:after="120"/>
      </w:pPr>
      <w:r>
        <w:t xml:space="preserve">The 7-day (accessible areas) or 14-day (remote areas) SLA clock begins on the same day TN Govt uploads the beneficiary file — the upload day counts as Day 1.</w:t>
      </w:r>
    </w:p>
    <w:p>
      <w:pPr>
        <w:pStyle w:val="ListParagraph"/>
        <w:numPr>
          <w:ilvl w:val="0"/>
          <w:numId w:val="2"/>
        </w:numPr>
        <w:spacing w:after="60"/>
      </w:pPr>
      <w:r>
        <w:t xml:space="preserve">Sequel classifies each beneficiary's pincode as 7-day or 14-day and shares the estimated delivery timeline with Titan's platform.</w:t>
      </w:r>
    </w:p>
    <w:p>
      <w:pPr>
        <w:pStyle w:val="ListParagraph"/>
        <w:numPr>
          <w:ilvl w:val="0"/>
          <w:numId w:val="2"/>
        </w:numPr>
        <w:spacing w:after="60"/>
      </w:pPr>
      <w:r>
        <w:t xml:space="preserve">The platform shows a precise countdown per beneficiary, and a status breakdown (within SLA / at risk / breached) per batch.</w:t>
      </w:r>
    </w:p>
    <w:p>
      <w:pPr>
        <w:pStyle w:val="ListParagraph"/>
        <w:numPr>
          <w:ilvl w:val="0"/>
          <w:numId w:val="2"/>
        </w:numPr>
        <w:spacing w:after="60"/>
      </w:pPr>
      <w:r>
        <w:t xml:space="preserve">When a file is uploaded, the platform emails relevant Titan stakeholders at their Titan email addresses.</w:t>
      </w:r>
    </w:p>
    <w:p>
      <w:pPr>
        <w:pStyle w:val="Heading2"/>
        <w:spacing w:after="100" w:before="220"/>
      </w:pPr>
      <w:r>
        <w:rPr>
          <w:b/>
          <w:bCs/>
          <w:color w:val="1E2761"/>
          <w:sz w:val="24"/>
          <w:szCs w:val="24"/>
        </w:rPr>
        <w:t xml:space="preserve">3.14 Grievance handling</w:t>
      </w:r>
    </w:p>
    <w:p>
      <w:pPr>
        <w:spacing w:after="120"/>
      </w:pPr>
      <w:r>
        <w:t xml:space="preserve">Sequel owns all beneficiary queries and grievances end-to-end. One case exists per beneficiary. Case details — case ID, category, description, status, resolution outcome, timestamps — are pushed to Titan via API, linked by mobile number or unique code. TN Govt can view grievance cases and outcomes, view-only for now.</w:t>
      </w:r>
    </w:p>
    <w:p>
      <w:pPr>
        <w:pStyle w:val="Heading2"/>
        <w:spacing w:after="100" w:before="220"/>
      </w:pPr>
      <w:r>
        <w:rPr>
          <w:b/>
          <w:bCs/>
          <w:color w:val="1E2761"/>
          <w:sz w:val="24"/>
          <w:szCs w:val="24"/>
        </w:rPr>
        <w:t xml:space="preserve">3.15 Contact &amp; helpline directory</w:t>
      </w:r>
    </w:p>
    <w:p>
      <w:pPr>
        <w:spacing w:after="120"/>
      </w:pPr>
      <w:r>
        <w:t xml:space="preserve">A static, admin-maintained list of contact numbers is visible within the platform to TN Govt and Titan users — not beneficiary-facing.</w:t>
      </w:r>
    </w:p>
    <w:p>
      <w:pPr>
        <w:pStyle w:val="Heading2"/>
        <w:spacing w:after="100" w:before="220"/>
      </w:pPr>
      <w:r>
        <w:rPr>
          <w:b/>
          <w:bCs/>
          <w:color w:val="1E2761"/>
          <w:sz w:val="24"/>
          <w:szCs w:val="24"/>
        </w:rPr>
        <w:t xml:space="preserve">3.16 Reporting &amp; access</w:t>
      </w:r>
    </w:p>
    <w:p>
      <w:pPr>
        <w:pStyle w:val="ListParagraph"/>
        <w:numPr>
          <w:ilvl w:val="0"/>
          <w:numId w:val="2"/>
        </w:numPr>
        <w:spacing w:after="60"/>
      </w:pPr>
      <w:r>
        <w:t xml:space="preserve">Titan (CBG Finance + developers) has full view access to all orders, batches, delivery details, tracking, reschedules, grievances, and PoD documents.</w:t>
      </w:r>
    </w:p>
    <w:p>
      <w:pPr>
        <w:pStyle w:val="ListParagraph"/>
        <w:numPr>
          <w:ilvl w:val="0"/>
          <w:numId w:val="2"/>
        </w:numPr>
        <w:spacing w:after="60"/>
      </w:pPr>
      <w:r>
        <w:t xml:space="preserve">TN Govt has view, export, and print access to the same information, including which specific verification step failed, and full batch/upload history — no edit access.</w:t>
      </w:r>
    </w:p>
    <w:p>
      <w:pPr>
        <w:pStyle w:val="ListParagraph"/>
        <w:numPr>
          <w:ilvl w:val="0"/>
          <w:numId w:val="2"/>
        </w:numPr>
        <w:spacing w:after="60"/>
      </w:pPr>
      <w:r>
        <w:t xml:space="preserve">Sequel has no login or view access into Titan's platform — interaction is via API only.</w:t>
      </w:r>
    </w:p>
    <w:p>
      <w:pPr>
        <w:pStyle w:val="Heading1"/>
        <w:spacing w:after="150" w:before="320"/>
      </w:pPr>
      <w:r>
        <w:rPr>
          <w:b/>
          <w:bCs/>
          <w:color w:val="1E2761"/>
        </w:rPr>
        <w:t xml:space="preserve">4. Roles &amp; access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00"/>
      </w:tblGrid>
      <w:tr>
        <w:trPr>
          <w:tblHeader/>
        </w:trPr>
        <w:tc>
          <w:tcPr>
            <w:tcW w:type="dxa" w:w="2600"/>
            <w:shd w:fill="1E2761" w:val="clear"/>
            <w:tcMar>
              <w:top w:type="dxa" w:w="80"/>
              <w:left w:type="dxa" w:w="100"/>
              <w:bottom w:type="dxa" w:w="80"/>
              <w:right w:type="dxa" w:w="100"/>
            </w:tcMar>
          </w:tcPr>
          <w:p>
            <w:r>
              <w:rPr>
                <w:b/>
                <w:bCs/>
                <w:color w:val="FFFFFF"/>
                <w:sz w:val="20"/>
                <w:szCs w:val="20"/>
              </w:rPr>
              <w:t xml:space="preserve">Actor</w:t>
            </w:r>
          </w:p>
        </w:tc>
        <w:tc>
          <w:tcPr>
            <w:tcW w:type="dxa" w:w="4600"/>
            <w:shd w:fill="1E2761" w:val="clear"/>
            <w:tcMar>
              <w:top w:type="dxa" w:w="80"/>
              <w:left w:type="dxa" w:w="100"/>
              <w:bottom w:type="dxa" w:w="80"/>
              <w:right w:type="dxa" w:w="100"/>
            </w:tcMar>
          </w:tcPr>
          <w:p>
            <w:r>
              <w:rPr>
                <w:b/>
                <w:bCs/>
                <w:color w:val="FFFFFF"/>
                <w:sz w:val="20"/>
                <w:szCs w:val="20"/>
              </w:rPr>
              <w:t xml:space="preserve">Access</w:t>
            </w:r>
          </w:p>
        </w:tc>
        <w:tc>
          <w:tcPr>
            <w:tcW w:type="dxa" w:w="2400"/>
            <w:shd w:fill="1E2761" w:val="clear"/>
            <w:tcMar>
              <w:top w:type="dxa" w:w="80"/>
              <w:left w:type="dxa" w:w="100"/>
              <w:bottom w:type="dxa" w:w="80"/>
              <w:right w:type="dxa" w:w="100"/>
            </w:tcMar>
          </w:tcPr>
          <w:p>
            <w:r>
              <w:rPr>
                <w:b/>
                <w:bCs/>
                <w:color w:val="FFFFFF"/>
                <w:sz w:val="20"/>
                <w:szCs w:val="20"/>
              </w:rPr>
              <w:t xml:space="preserve">Can edit?</w:t>
            </w:r>
          </w:p>
        </w:tc>
      </w:tr>
      <w:tr>
        <w:tc>
          <w:tcPr>
            <w:tcW w:type="dxa" w:w="2600"/>
            <w:tcMar>
              <w:top w:type="dxa" w:w="80"/>
              <w:left w:type="dxa" w:w="100"/>
              <w:bottom w:type="dxa" w:w="80"/>
              <w:right w:type="dxa" w:w="100"/>
            </w:tcMar>
          </w:tcPr>
          <w:p>
            <w:r>
              <w:rPr>
                <w:b w:val="false"/>
                <w:bCs w:val="false"/>
                <w:color w:val="000000"/>
                <w:sz w:val="20"/>
                <w:szCs w:val="20"/>
              </w:rPr>
              <w:t xml:space="preserve">TN Govt</w:t>
            </w:r>
          </w:p>
        </w:tc>
        <w:tc>
          <w:tcPr>
            <w:tcW w:type="dxa" w:w="4600"/>
            <w:tcMar>
              <w:top w:type="dxa" w:w="80"/>
              <w:left w:type="dxa" w:w="100"/>
              <w:bottom w:type="dxa" w:w="80"/>
              <w:right w:type="dxa" w:w="100"/>
            </w:tcMar>
          </w:tcPr>
          <w:p>
            <w:r>
              <w:rPr>
                <w:b w:val="false"/>
                <w:bCs w:val="false"/>
                <w:color w:val="000000"/>
                <w:sz w:val="20"/>
                <w:szCs w:val="20"/>
              </w:rPr>
              <w:t xml:space="preserve">View, export, print — delivery status, failed-step detail, reschedules, grievance outcomes, PoD documents, full batch history</w:t>
            </w:r>
          </w:p>
        </w:tc>
        <w:tc>
          <w:tcPr>
            <w:tcW w:type="dxa" w:w="2400"/>
            <w:tcMar>
              <w:top w:type="dxa" w:w="80"/>
              <w:left w:type="dxa" w:w="100"/>
              <w:bottom w:type="dxa" w:w="80"/>
              <w:right w:type="dxa" w:w="100"/>
            </w:tcMar>
          </w:tcPr>
          <w:p>
            <w:r>
              <w:rPr>
                <w:b w:val="false"/>
                <w:bCs w:val="false"/>
                <w:color w:val="000000"/>
                <w:sz w:val="20"/>
                <w:szCs w:val="20"/>
              </w:rPr>
              <w:t xml:space="preserve">No</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Titan (CBG Finance + developers)</w:t>
            </w:r>
          </w:p>
        </w:tc>
        <w:tc>
          <w:tcPr>
            <w:tcW w:type="dxa" w:w="4600"/>
            <w:shd w:fill="F2F2F2" w:val="clear"/>
            <w:tcMar>
              <w:top w:type="dxa" w:w="80"/>
              <w:left w:type="dxa" w:w="100"/>
              <w:bottom w:type="dxa" w:w="80"/>
              <w:right w:type="dxa" w:w="100"/>
            </w:tcMar>
          </w:tcPr>
          <w:p>
            <w:r>
              <w:rPr>
                <w:b w:val="false"/>
                <w:bCs w:val="false"/>
                <w:color w:val="000000"/>
                <w:sz w:val="20"/>
                <w:szCs w:val="20"/>
              </w:rPr>
              <w:t xml:space="preserve">Full view access — all orders, batches, delivery details, tracking, reschedules, grievances, PoD, reports</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Platform administration only</w:t>
            </w:r>
          </w:p>
        </w:tc>
      </w:tr>
      <w:tr>
        <w:tc>
          <w:tcPr>
            <w:tcW w:type="dxa" w:w="2600"/>
            <w:tcMar>
              <w:top w:type="dxa" w:w="80"/>
              <w:left w:type="dxa" w:w="100"/>
              <w:bottom w:type="dxa" w:w="80"/>
              <w:right w:type="dxa" w:w="100"/>
            </w:tcMar>
          </w:tcPr>
          <w:p>
            <w:r>
              <w:rPr>
                <w:b w:val="false"/>
                <w:bCs w:val="false"/>
                <w:color w:val="000000"/>
                <w:sz w:val="20"/>
                <w:szCs w:val="20"/>
              </w:rPr>
              <w:t xml:space="preserve">Sequel</w:t>
            </w:r>
          </w:p>
        </w:tc>
        <w:tc>
          <w:tcPr>
            <w:tcW w:type="dxa" w:w="4600"/>
            <w:tcMar>
              <w:top w:type="dxa" w:w="80"/>
              <w:left w:type="dxa" w:w="100"/>
              <w:bottom w:type="dxa" w:w="80"/>
              <w:right w:type="dxa" w:w="100"/>
            </w:tcMar>
          </w:tcPr>
          <w:p>
            <w:r>
              <w:rPr>
                <w:b w:val="false"/>
                <w:bCs w:val="false"/>
                <w:color w:val="000000"/>
                <w:sz w:val="20"/>
                <w:szCs w:val="20"/>
              </w:rPr>
              <w:t xml:space="preserve">No platform access — sends and receives data via API only</w:t>
            </w:r>
          </w:p>
        </w:tc>
        <w:tc>
          <w:tcPr>
            <w:tcW w:type="dxa" w:w="2400"/>
            <w:tcMar>
              <w:top w:type="dxa" w:w="80"/>
              <w:left w:type="dxa" w:w="100"/>
              <w:bottom w:type="dxa" w:w="80"/>
              <w:right w:type="dxa" w:w="100"/>
            </w:tcMar>
          </w:tcPr>
          <w:p>
            <w:r>
              <w:rPr>
                <w:b w:val="false"/>
                <w:bCs w:val="false"/>
                <w:color w:val="000000"/>
                <w:sz w:val="20"/>
                <w:szCs w:val="20"/>
              </w:rPr>
              <w:t xml:space="preserve">N/A</w:t>
            </w:r>
          </w:p>
        </w:tc>
      </w:tr>
    </w:tbl>
    <w:p>
      <w:pPr>
        <w:pStyle w:val="Heading1"/>
        <w:spacing w:after="150" w:before="320"/>
      </w:pPr>
      <w:r>
        <w:rPr>
          <w:b/>
          <w:bCs/>
          <w:color w:val="1E2761"/>
        </w:rPr>
        <w:t xml:space="preserve">5. Data flow summary</w:t>
      </w:r>
    </w:p>
    <w:p>
      <w:pPr>
        <w:pStyle w:val="ListParagraph"/>
        <w:numPr>
          <w:ilvl w:val="0"/>
          <w:numId w:val="2"/>
        </w:numPr>
        <w:spacing w:after="60"/>
      </w:pPr>
      <w:r>
        <w:t xml:space="preserve">TN Govt → Titan: beneficiary list, uploaded and validated per batch, then explicitly confirmed.</w:t>
      </w:r>
    </w:p>
    <w:p>
      <w:pPr>
        <w:pStyle w:val="ListParagraph"/>
        <w:numPr>
          <w:ilvl w:val="0"/>
          <w:numId w:val="2"/>
        </w:numPr>
        <w:spacing w:after="60"/>
      </w:pPr>
      <w:r>
        <w:t xml:space="preserve">Titan → Oracle and Titan → Sequel happen in parallel, both triggered once orders are created: aggregate coin quantity to Oracle, full beneficiary/order list to Sequel.</w:t>
      </w:r>
    </w:p>
    <w:p>
      <w:pPr>
        <w:pStyle w:val="ListParagraph"/>
        <w:numPr>
          <w:ilvl w:val="0"/>
          <w:numId w:val="2"/>
        </w:numPr>
        <w:spacing w:after="60"/>
      </w:pPr>
      <w:r>
        <w:t xml:space="preserve">Oracle → Sequel: allocated coin stock, assigned once available — packing (3.7) waits for this, but the beneficiary handoff above does not.</w:t>
      </w:r>
    </w:p>
    <w:p>
      <w:pPr>
        <w:pStyle w:val="ListParagraph"/>
        <w:numPr>
          <w:ilvl w:val="0"/>
          <w:numId w:val="2"/>
        </w:numPr>
        <w:spacing w:after="60"/>
      </w:pPr>
      <w:r>
        <w:t xml:space="preserve">Sequel → Titan: AWB per order, delivery status events, pincode SLA classification, reschedule events, grievance case data, coin serial + tagging, PoD documents.</w:t>
      </w:r>
    </w:p>
    <w:p>
      <w:pPr>
        <w:pStyle w:val="ListParagraph"/>
        <w:numPr>
          <w:ilvl w:val="0"/>
          <w:numId w:val="2"/>
        </w:numPr>
        <w:spacing w:after="60"/>
      </w:pPr>
      <w:r>
        <w:t xml:space="preserve">Titan → TN Govt: view/export/print access to all of the above.</w:t>
      </w:r>
    </w:p>
    <w:p>
      <w:pPr>
        <w:spacing w:after="160"/>
      </w:pPr>
      <w:r>
        <w:rPr>
          <w:i/>
          <w:iCs/>
          <w:color w:val="5F5E5A"/>
          <w:sz w:val="20"/>
          <w:szCs w:val="20"/>
        </w:rPr>
        <w:t xml:space="preserve">Titan's platform is the sole system of record. TN Govt and Sequel do not interact directly.</w:t>
      </w:r>
    </w:p>
    <w:p>
      <w:pPr>
        <w:pStyle w:val="Heading1"/>
        <w:spacing w:after="150" w:before="320"/>
      </w:pPr>
      <w:r>
        <w:rPr>
          <w:b/>
          <w:bCs/>
          <w:color w:val="1E2761"/>
        </w:rPr>
        <w:t xml:space="preserve">6. Assumptions</w:t>
      </w:r>
    </w:p>
    <w:p>
      <w:pPr>
        <w:pStyle w:val="ListParagraph"/>
        <w:numPr>
          <w:ilvl w:val="0"/>
          <w:numId w:val="2"/>
        </w:numPr>
        <w:spacing w:after="60"/>
      </w:pPr>
      <w:r>
        <w:t xml:space="preserve">Gold coin availability is guaranteed via Oracle's allocation process (existing stock, then boutique replenishment, then manufacture within 1–2 days if needed). The 7-day/14-day SLA already factors in this potential manufacturing step — no separate timing adjustment applies.</w:t>
      </w:r>
    </w:p>
    <w:p>
      <w:pPr>
        <w:pStyle w:val="ListParagraph"/>
        <w:numPr>
          <w:ilvl w:val="0"/>
          <w:numId w:val="2"/>
        </w:numPr>
        <w:spacing w:after="60"/>
      </w:pPr>
      <w:r>
        <w:t xml:space="preserve">Sequel is the confirmed, sole delivery partner for this scheme.</w:t>
      </w:r>
    </w:p>
    <w:p>
      <w:pPr>
        <w:pStyle w:val="ListParagraph"/>
        <w:numPr>
          <w:ilvl w:val="0"/>
          <w:numId w:val="2"/>
        </w:numPr>
        <w:spacing w:after="60"/>
      </w:pPr>
      <w:r>
        <w:t xml:space="preserve">Sequel's API endpoint is reliably available — no retry/SLA-pause handling is required for an outage on their side.</w:t>
      </w:r>
    </w:p>
    <w:p>
      <w:pPr>
        <w:pStyle w:val="ListParagraph"/>
        <w:numPr>
          <w:ilvl w:val="0"/>
          <w:numId w:val="2"/>
        </w:numPr>
        <w:spacing w:after="60"/>
      </w:pPr>
      <w:r>
        <w:t xml:space="preserve">Sequel accepts every record in a submitted batch as-is — no partial batch rejection occurs.</w:t>
      </w:r>
    </w:p>
    <w:p>
      <w:pPr>
        <w:pStyle w:val="ListParagraph"/>
        <w:numPr>
          <w:ilvl w:val="0"/>
          <w:numId w:val="2"/>
        </w:numPr>
        <w:spacing w:after="60"/>
      </w:pPr>
      <w:r>
        <w:t xml:space="preserve">AWB numbers are always correctly generated and shared, mapped to the right beneficiary, without failure.</w:t>
      </w:r>
    </w:p>
    <w:p>
      <w:pPr>
        <w:pStyle w:val="ListParagraph"/>
        <w:numPr>
          <w:ilvl w:val="0"/>
          <w:numId w:val="2"/>
        </w:numPr>
        <w:spacing w:after="60"/>
      </w:pPr>
      <w:r>
        <w:t xml:space="preserve">Shipment loss/damage in transit and hub-level quantity discrepancies are handled entirely by Sequel and Finance operationally — not a platform concern.</w:t>
      </w:r>
    </w:p>
    <w:p>
      <w:pPr>
        <w:pStyle w:val="ListParagraph"/>
        <w:numPr>
          <w:ilvl w:val="0"/>
          <w:numId w:val="2"/>
        </w:numPr>
        <w:spacing w:after="60"/>
      </w:pPr>
      <w:r>
        <w:t xml:space="preserve">Each order record is the beneficiary record itself — one object, one status lifecycle, mirrored from Sequel's delivery status.</w:t>
      </w:r>
    </w:p>
    <w:p>
      <w:pPr>
        <w:pStyle w:val="ListParagraph"/>
        <w:numPr>
          <w:ilvl w:val="0"/>
          <w:numId w:val="2"/>
        </w:numPr>
        <w:spacing w:after="60"/>
      </w:pPr>
      <w:r>
        <w:t xml:space="preserve">Basic field-format validation happens at upload; deeper identity/business validation does not (Section 8).</w:t>
      </w:r>
    </w:p>
    <w:p>
      <w:pPr>
        <w:pStyle w:val="Heading1"/>
        <w:spacing w:after="150" w:before="320"/>
      </w:pPr>
      <w:r>
        <w:rPr>
          <w:b/>
          <w:bCs/>
          <w:color w:val="1E2761"/>
        </w:rPr>
        <w:t xml:space="preserve">7. Explicitly considered and not built</w:t>
      </w:r>
    </w:p>
    <w:p>
      <w:pPr>
        <w:pStyle w:val="ListParagraph"/>
        <w:numPr>
          <w:ilvl w:val="0"/>
          <w:numId w:val="2"/>
        </w:numPr>
        <w:spacing w:after="60"/>
      </w:pPr>
      <w:r>
        <w:t xml:space="preserve">Sequel read-only audit view into Titan's platform — not required; Sequel's only channel is the API.</w:t>
      </w:r>
    </w:p>
    <w:p>
      <w:pPr>
        <w:pStyle w:val="ListParagraph"/>
        <w:numPr>
          <w:ilvl w:val="0"/>
          <w:numId w:val="2"/>
        </w:numPr>
        <w:spacing w:after="60"/>
      </w:pPr>
      <w:r>
        <w:t xml:space="preserve">Commercial order/OMS/pricing integration — the order construct exists for structured process only.</w:t>
      </w:r>
    </w:p>
    <w:p>
      <w:pPr>
        <w:pStyle w:val="ListParagraph"/>
        <w:numPr>
          <w:ilvl w:val="0"/>
          <w:numId w:val="2"/>
        </w:numPr>
        <w:spacing w:after="60"/>
      </w:pPr>
      <w:r>
        <w:t xml:space="preserve">Oracle financial reconciliation interface files — not required. This is distinct from the aggregate stock-quantity request to Oracle in 3.5, which is a new, separate integration now in scope.</w:t>
      </w:r>
    </w:p>
    <w:p>
      <w:pPr>
        <w:pStyle w:val="ListParagraph"/>
        <w:numPr>
          <w:ilvl w:val="0"/>
          <w:numId w:val="2"/>
        </w:numPr>
        <w:spacing w:after="60"/>
      </w:pPr>
      <w:r>
        <w:t xml:space="preserve">Status visibility for the Oracle allocation stage (e.g. “allocating,” “manufacturing in progress”) — not required for now.</w:t>
      </w:r>
    </w:p>
    <w:p>
      <w:pPr>
        <w:pStyle w:val="ListParagraph"/>
        <w:numPr>
          <w:ilvl w:val="0"/>
          <w:numId w:val="2"/>
        </w:numPr>
        <w:spacing w:after="60"/>
      </w:pPr>
      <w:r>
        <w:t xml:space="preserve">Beneficiary-facing access of any kind.</w:t>
      </w:r>
    </w:p>
    <w:p>
      <w:pPr>
        <w:pStyle w:val="Heading1"/>
        <w:spacing w:after="150" w:before="320"/>
      </w:pPr>
      <w:r>
        <w:rPr>
          <w:b/>
          <w:bCs/>
          <w:color w:val="1E2761"/>
        </w:rPr>
        <w:t xml:space="preserve">8. Out of scope</w:t>
      </w:r>
    </w:p>
    <w:p>
      <w:pPr>
        <w:pStyle w:val="ListParagraph"/>
        <w:numPr>
          <w:ilvl w:val="0"/>
          <w:numId w:val="2"/>
        </w:numPr>
        <w:spacing w:after="60"/>
      </w:pPr>
      <w:r>
        <w:t xml:space="preserve">Identity or business-rule validation of beneficiary data by Titan. Basic format/completeness checks at upload (3.2) are a different thing and are in scope.</w:t>
      </w:r>
    </w:p>
    <w:p>
      <w:pPr>
        <w:pStyle w:val="ListParagraph"/>
        <w:numPr>
          <w:ilvl w:val="0"/>
          <w:numId w:val="2"/>
        </w:numPr>
        <w:spacing w:after="60"/>
      </w:pPr>
      <w:r>
        <w:t xml:space="preserve">Gold coin stock/inventory visibility or tracking within the platform, beyond the aggregate quantity request to Oracle described in 3.5.</w:t>
      </w:r>
    </w:p>
    <w:p>
      <w:pPr>
        <w:pStyle w:val="ListParagraph"/>
        <w:numPr>
          <w:ilvl w:val="0"/>
          <w:numId w:val="2"/>
        </w:numPr>
        <w:spacing w:after="60"/>
      </w:pPr>
      <w:r>
        <w:t xml:space="preserve">Pick-pack workflow execution — Titan's platform does not perform or track packing; it only stores the AWB and serial data Sequel shares afterward (3.7).</w:t>
      </w:r>
    </w:p>
    <w:p>
      <w:pPr>
        <w:pStyle w:val="ListParagraph"/>
        <w:numPr>
          <w:ilvl w:val="0"/>
          <w:numId w:val="2"/>
        </w:numPr>
        <w:spacing w:after="60"/>
      </w:pPr>
      <w:r>
        <w:t xml:space="preserve">OMS and pricing integration.</w:t>
      </w:r>
    </w:p>
    <w:p>
      <w:pPr>
        <w:pStyle w:val="ListParagraph"/>
        <w:numPr>
          <w:ilvl w:val="0"/>
          <w:numId w:val="2"/>
        </w:numPr>
        <w:spacing w:after="60"/>
      </w:pPr>
      <w:r>
        <w:t xml:space="preserve">Oracle financial reconciliation interface files — see Section 7 for the distinction from the stock-quantity request that is in scope.</w:t>
      </w:r>
    </w:p>
    <w:p>
      <w:pPr>
        <w:pStyle w:val="ListParagraph"/>
        <w:numPr>
          <w:ilvl w:val="0"/>
          <w:numId w:val="2"/>
        </w:numPr>
        <w:spacing w:after="60"/>
      </w:pPr>
      <w:r>
        <w:t xml:space="preserve">Beneficiary-facing delivery tracking or any other beneficiary-facing feature.</w:t>
      </w:r>
    </w:p>
    <w:p>
      <w:pPr>
        <w:pStyle w:val="ListParagraph"/>
        <w:numPr>
          <w:ilvl w:val="0"/>
          <w:numId w:val="2"/>
        </w:numPr>
        <w:spacing w:after="60"/>
      </w:pPr>
      <w:r>
        <w:t xml:space="preserve">Sequel access to Titan's platform beyond the API.</w:t>
      </w:r>
    </w:p>
    <w:p>
      <w:pPr>
        <w:pStyle w:val="ListParagraph"/>
        <w:numPr>
          <w:ilvl w:val="0"/>
          <w:numId w:val="2"/>
        </w:numPr>
        <w:spacing w:after="60"/>
      </w:pPr>
      <w:r>
        <w:t xml:space="preserve">Titan managing or resolving grievances directly — Sequel owns this end-to-end.</w:t>
      </w:r>
    </w:p>
    <w:p>
      <w:pPr>
        <w:pStyle w:val="Heading1"/>
        <w:spacing w:after="150" w:before="320"/>
      </w:pPr>
      <w:r>
        <w:rPr>
          <w:b/>
          <w:bCs/>
          <w:color w:val="1E2761"/>
        </w:rPr>
        <w:t xml:space="preserve">9. Dependencies &amp; open points</w:t>
      </w:r>
    </w:p>
    <w:p>
      <w:pPr>
        <w:spacing w:after="160"/>
      </w:pPr>
      <w:r>
        <w:rPr>
          <w:i/>
          <w:iCs/>
          <w:color w:val="5F5E5A"/>
          <w:sz w:val="20"/>
          <w:szCs w:val="20"/>
        </w:rPr>
        <w:t xml:space="preserve">Grouped by category, with the owning team and a blank Outcome column to record the answer once confirmed.</w:t>
      </w:r>
    </w:p>
    <w:p>
      <w:pPr>
        <w:pStyle w:val="Heading3"/>
        <w:spacing w:after="90" w:before="200"/>
      </w:pPr>
      <w:r>
        <w:rPr>
          <w:b/>
          <w:bCs/>
          <w:color w:val="1E2761"/>
          <w:sz w:val="21"/>
          <w:szCs w:val="21"/>
        </w:rPr>
        <w:t xml:space="preserve">9.1 Data &amp; upload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1600"/>
      </w:tblGrid>
      <w:tr>
        <w:trPr>
          <w:tblHeader/>
        </w:trPr>
        <w:tc>
          <w:tcPr>
            <w:tcW w:type="dxa" w:w="4400"/>
            <w:shd w:fill="1E2761" w:val="clear"/>
            <w:tcMar>
              <w:top w:type="dxa" w:w="80"/>
              <w:left w:type="dxa" w:w="100"/>
              <w:bottom w:type="dxa" w:w="80"/>
              <w:right w:type="dxa" w:w="100"/>
            </w:tcMar>
          </w:tcPr>
          <w:p>
            <w:r>
              <w:rPr>
                <w:b/>
                <w:bCs/>
                <w:color w:val="FFFFFF"/>
                <w:sz w:val="20"/>
                <w:szCs w:val="20"/>
              </w:rPr>
              <w:t xml:space="preserve">Open point</w:t>
            </w:r>
          </w:p>
        </w:tc>
        <w:tc>
          <w:tcPr>
            <w:tcW w:type="dxa" w:w="2600"/>
            <w:shd w:fill="1E2761" w:val="clear"/>
            <w:tcMar>
              <w:top w:type="dxa" w:w="80"/>
              <w:left w:type="dxa" w:w="100"/>
              <w:bottom w:type="dxa" w:w="80"/>
              <w:right w:type="dxa" w:w="100"/>
            </w:tcMar>
          </w:tcPr>
          <w:p>
            <w:r>
              <w:rPr>
                <w:b/>
                <w:bCs/>
                <w:color w:val="FFFFFF"/>
                <w:sz w:val="20"/>
                <w:szCs w:val="20"/>
              </w:rPr>
              <w:t xml:space="preserve">Team / owner</w:t>
            </w:r>
          </w:p>
        </w:tc>
        <w:tc>
          <w:tcPr>
            <w:tcW w:type="dxa" w:w="1600"/>
            <w:shd w:fill="1E2761" w:val="clear"/>
            <w:tcMar>
              <w:top w:type="dxa" w:w="80"/>
              <w:left w:type="dxa" w:w="100"/>
              <w:bottom w:type="dxa" w:w="80"/>
              <w:right w:type="dxa" w:w="100"/>
            </w:tcMar>
          </w:tcPr>
          <w:p>
            <w:r>
              <w:rPr>
                <w:b/>
                <w:bCs/>
                <w:color w:val="FFFFFF"/>
                <w:sz w:val="20"/>
                <w:szCs w:val="20"/>
              </w:rPr>
              <w:t xml:space="preserve">Outcome</w:t>
            </w:r>
          </w:p>
        </w:tc>
      </w:tr>
      <w:tr>
        <w:tc>
          <w:tcPr>
            <w:tcW w:type="dxa" w:w="4400"/>
            <w:tcMar>
              <w:top w:type="dxa" w:w="80"/>
              <w:left w:type="dxa" w:w="100"/>
              <w:bottom w:type="dxa" w:w="80"/>
              <w:right w:type="dxa" w:w="100"/>
            </w:tcMar>
          </w:tcPr>
          <w:p>
            <w:r>
              <w:rPr>
                <w:b w:val="false"/>
                <w:bCs w:val="false"/>
                <w:color w:val="000000"/>
                <w:sz w:val="20"/>
                <w:szCs w:val="20"/>
              </w:rPr>
              <w:t xml:space="preserve">Exact file format and upload method for the beneficiary list (Excel/CSV/template/API)</w:t>
            </w:r>
          </w:p>
        </w:tc>
        <w:tc>
          <w:tcPr>
            <w:tcW w:type="dxa" w:w="2600"/>
            <w:tcMar>
              <w:top w:type="dxa" w:w="80"/>
              <w:left w:type="dxa" w:w="100"/>
              <w:bottom w:type="dxa" w:w="80"/>
              <w:right w:type="dxa" w:w="100"/>
            </w:tcMar>
          </w:tcPr>
          <w:p>
            <w:r>
              <w:rPr>
                <w:b w:val="false"/>
                <w:bCs w:val="false"/>
                <w:color w:val="000000"/>
                <w:sz w:val="20"/>
                <w:szCs w:val="20"/>
              </w:rPr>
              <w:t xml:space="preserve">Titan + TN Govt</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Precise field-level format rules for validation, beyond the general examples given</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Titan (internal — to supply)</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r>
        <w:tc>
          <w:tcPr>
            <w:tcW w:type="dxa" w:w="4400"/>
            <w:tcMar>
              <w:top w:type="dxa" w:w="80"/>
              <w:left w:type="dxa" w:w="100"/>
              <w:bottom w:type="dxa" w:w="80"/>
              <w:right w:type="dxa" w:w="100"/>
            </w:tcMar>
          </w:tcPr>
          <w:p>
            <w:r>
              <w:rPr>
                <w:b w:val="false"/>
                <w:bCs w:val="false"/>
                <w:color w:val="000000"/>
                <w:sz w:val="20"/>
                <w:szCs w:val="20"/>
              </w:rPr>
              <w:t xml:space="preserve">Whether TN Govt can exclude one flagged beneficiary and proceed with the rest of a batch, or the batch must be fully clean</w:t>
            </w:r>
          </w:p>
        </w:tc>
        <w:tc>
          <w:tcPr>
            <w:tcW w:type="dxa" w:w="2600"/>
            <w:tcMar>
              <w:top w:type="dxa" w:w="80"/>
              <w:left w:type="dxa" w:w="100"/>
              <w:bottom w:type="dxa" w:w="80"/>
              <w:right w:type="dxa" w:w="100"/>
            </w:tcMar>
          </w:tcPr>
          <w:p>
            <w:r>
              <w:rPr>
                <w:b w:val="false"/>
                <w:bCs w:val="false"/>
                <w:color w:val="000000"/>
                <w:sz w:val="20"/>
                <w:szCs w:val="20"/>
              </w:rPr>
              <w:t xml:space="preserve">CBG Finance (to check with TN Govt)</w:t>
            </w:r>
          </w:p>
        </w:tc>
        <w:tc>
          <w:tcPr>
            <w:tcW w:type="dxa" w:w="1600"/>
            <w:tcMar>
              <w:top w:type="dxa" w:w="80"/>
              <w:left w:type="dxa" w:w="100"/>
              <w:bottom w:type="dxa" w:w="80"/>
              <w:right w:type="dxa" w:w="100"/>
            </w:tcMar>
          </w:tcPr>
          <w:p>
            <w:r>
              <w:rPr>
                <w:b w:val="false"/>
                <w:bCs w:val="false"/>
                <w:color w:val="000000"/>
                <w:sz w:val="20"/>
                <w:szCs w:val="20"/>
              </w:rPr>
              <w:t xml:space="preserve"/>
            </w:r>
          </w:p>
        </w:tc>
      </w:tr>
    </w:tbl>
    <w:p>
      <w:pPr>
        <w:pStyle w:val="Heading3"/>
        <w:spacing w:after="90" w:before="200"/>
      </w:pPr>
      <w:r>
        <w:rPr>
          <w:b/>
          <w:bCs/>
          <w:color w:val="1E2761"/>
          <w:sz w:val="21"/>
          <w:szCs w:val="21"/>
        </w:rPr>
        <w:t xml:space="preserve">9.2 Delivery &amp; verification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1600"/>
      </w:tblGrid>
      <w:tr>
        <w:trPr>
          <w:tblHeader/>
        </w:trPr>
        <w:tc>
          <w:tcPr>
            <w:tcW w:type="dxa" w:w="4400"/>
            <w:shd w:fill="1E2761" w:val="clear"/>
            <w:tcMar>
              <w:top w:type="dxa" w:w="80"/>
              <w:left w:type="dxa" w:w="100"/>
              <w:bottom w:type="dxa" w:w="80"/>
              <w:right w:type="dxa" w:w="100"/>
            </w:tcMar>
          </w:tcPr>
          <w:p>
            <w:r>
              <w:rPr>
                <w:b/>
                <w:bCs/>
                <w:color w:val="FFFFFF"/>
                <w:sz w:val="20"/>
                <w:szCs w:val="20"/>
              </w:rPr>
              <w:t xml:space="preserve">Open point</w:t>
            </w:r>
          </w:p>
        </w:tc>
        <w:tc>
          <w:tcPr>
            <w:tcW w:type="dxa" w:w="2600"/>
            <w:shd w:fill="1E2761" w:val="clear"/>
            <w:tcMar>
              <w:top w:type="dxa" w:w="80"/>
              <w:left w:type="dxa" w:w="100"/>
              <w:bottom w:type="dxa" w:w="80"/>
              <w:right w:type="dxa" w:w="100"/>
            </w:tcMar>
          </w:tcPr>
          <w:p>
            <w:r>
              <w:rPr>
                <w:b/>
                <w:bCs/>
                <w:color w:val="FFFFFF"/>
                <w:sz w:val="20"/>
                <w:szCs w:val="20"/>
              </w:rPr>
              <w:t xml:space="preserve">Team / owner</w:t>
            </w:r>
          </w:p>
        </w:tc>
        <w:tc>
          <w:tcPr>
            <w:tcW w:type="dxa" w:w="1600"/>
            <w:shd w:fill="1E2761" w:val="clear"/>
            <w:tcMar>
              <w:top w:type="dxa" w:w="80"/>
              <w:left w:type="dxa" w:w="100"/>
              <w:bottom w:type="dxa" w:w="80"/>
              <w:right w:type="dxa" w:w="100"/>
            </w:tcMar>
          </w:tcPr>
          <w:p>
            <w:r>
              <w:rPr>
                <w:b/>
                <w:bCs/>
                <w:color w:val="FFFFFF"/>
                <w:sz w:val="20"/>
                <w:szCs w:val="20"/>
              </w:rPr>
              <w:t xml:space="preserve">Outcome</w:t>
            </w:r>
          </w:p>
        </w:tc>
      </w:tr>
      <w:tr>
        <w:tc>
          <w:tcPr>
            <w:tcW w:type="dxa" w:w="4400"/>
            <w:tcMar>
              <w:top w:type="dxa" w:w="80"/>
              <w:left w:type="dxa" w:w="100"/>
              <w:bottom w:type="dxa" w:w="80"/>
              <w:right w:type="dxa" w:w="100"/>
            </w:tcMar>
          </w:tcPr>
          <w:p>
            <w:r>
              <w:rPr>
                <w:b w:val="false"/>
                <w:bCs w:val="false"/>
                <w:color w:val="000000"/>
                <w:sz w:val="20"/>
                <w:szCs w:val="20"/>
              </w:rPr>
              <w:t xml:space="preserve">Fixed set of reschedule reason codes</w:t>
            </w:r>
          </w:p>
        </w:tc>
        <w:tc>
          <w:tcPr>
            <w:tcW w:type="dxa" w:w="2600"/>
            <w:tcMar>
              <w:top w:type="dxa" w:w="80"/>
              <w:left w:type="dxa" w:w="100"/>
              <w:bottom w:type="dxa" w:w="80"/>
              <w:right w:type="dxa" w:w="100"/>
            </w:tcMar>
          </w:tcPr>
          <w:p>
            <w:r>
              <w:rPr>
                <w:b w:val="false"/>
                <w:bCs w:val="false"/>
                <w:color w:val="000000"/>
                <w:sz w:val="20"/>
                <w:szCs w:val="20"/>
              </w:rPr>
              <w:t xml:space="preserve">Sequel</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Action after failure of each of the 3 verification steps — Aadhaar mismatch, OTP failure, unique code mismatch</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CBG Finance + TN Govt</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r>
        <w:tc>
          <w:tcPr>
            <w:tcW w:type="dxa" w:w="4400"/>
            <w:tcMar>
              <w:top w:type="dxa" w:w="80"/>
              <w:left w:type="dxa" w:w="100"/>
              <w:bottom w:type="dxa" w:w="80"/>
              <w:right w:type="dxa" w:w="100"/>
            </w:tcMar>
          </w:tcPr>
          <w:p>
            <w:r>
              <w:rPr>
                <w:b w:val="false"/>
                <w:bCs w:val="false"/>
                <w:color w:val="000000"/>
                <w:sz w:val="20"/>
                <w:szCs w:val="20"/>
              </w:rPr>
              <w:t xml:space="preserve">Handling for OTP non-receipt due to signal issues</w:t>
            </w:r>
          </w:p>
        </w:tc>
        <w:tc>
          <w:tcPr>
            <w:tcW w:type="dxa" w:w="2600"/>
            <w:tcMar>
              <w:top w:type="dxa" w:w="80"/>
              <w:left w:type="dxa" w:w="100"/>
              <w:bottom w:type="dxa" w:w="80"/>
              <w:right w:type="dxa" w:w="100"/>
            </w:tcMar>
          </w:tcPr>
          <w:p>
            <w:r>
              <w:rPr>
                <w:b w:val="false"/>
                <w:bCs w:val="false"/>
                <w:color w:val="000000"/>
                <w:sz w:val="20"/>
                <w:szCs w:val="20"/>
              </w:rPr>
              <w:t xml:space="preserve">CBG Finance + TN Govt</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What happens once delivery re-attempts (2, or 3 under special circumstances) are exhausted</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CBG Finance + TN Govt</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bl>
    <w:p>
      <w:pPr>
        <w:pStyle w:val="Heading3"/>
        <w:spacing w:after="90" w:before="200"/>
      </w:pPr>
      <w:r>
        <w:rPr>
          <w:b/>
          <w:bCs/>
          <w:color w:val="1E2761"/>
          <w:sz w:val="21"/>
          <w:szCs w:val="21"/>
        </w:rPr>
        <w:t xml:space="preserve">9.3 Proof of delivery &amp; Sequel integration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1600"/>
      </w:tblGrid>
      <w:tr>
        <w:trPr>
          <w:tblHeader/>
        </w:trPr>
        <w:tc>
          <w:tcPr>
            <w:tcW w:type="dxa" w:w="4400"/>
            <w:shd w:fill="1E2761" w:val="clear"/>
            <w:tcMar>
              <w:top w:type="dxa" w:w="80"/>
              <w:left w:type="dxa" w:w="100"/>
              <w:bottom w:type="dxa" w:w="80"/>
              <w:right w:type="dxa" w:w="100"/>
            </w:tcMar>
          </w:tcPr>
          <w:p>
            <w:r>
              <w:rPr>
                <w:b/>
                <w:bCs/>
                <w:color w:val="FFFFFF"/>
                <w:sz w:val="20"/>
                <w:szCs w:val="20"/>
              </w:rPr>
              <w:t xml:space="preserve">Open point</w:t>
            </w:r>
          </w:p>
        </w:tc>
        <w:tc>
          <w:tcPr>
            <w:tcW w:type="dxa" w:w="2600"/>
            <w:shd w:fill="1E2761" w:val="clear"/>
            <w:tcMar>
              <w:top w:type="dxa" w:w="80"/>
              <w:left w:type="dxa" w:w="100"/>
              <w:bottom w:type="dxa" w:w="80"/>
              <w:right w:type="dxa" w:w="100"/>
            </w:tcMar>
          </w:tcPr>
          <w:p>
            <w:r>
              <w:rPr>
                <w:b/>
                <w:bCs/>
                <w:color w:val="FFFFFF"/>
                <w:sz w:val="20"/>
                <w:szCs w:val="20"/>
              </w:rPr>
              <w:t xml:space="preserve">Team / owner</w:t>
            </w:r>
          </w:p>
        </w:tc>
        <w:tc>
          <w:tcPr>
            <w:tcW w:type="dxa" w:w="1600"/>
            <w:shd w:fill="1E2761" w:val="clear"/>
            <w:tcMar>
              <w:top w:type="dxa" w:w="80"/>
              <w:left w:type="dxa" w:w="100"/>
              <w:bottom w:type="dxa" w:w="80"/>
              <w:right w:type="dxa" w:w="100"/>
            </w:tcMar>
          </w:tcPr>
          <w:p>
            <w:r>
              <w:rPr>
                <w:b/>
                <w:bCs/>
                <w:color w:val="FFFFFF"/>
                <w:sz w:val="20"/>
                <w:szCs w:val="20"/>
              </w:rPr>
              <w:t xml:space="preserve">Outcome</w:t>
            </w:r>
          </w:p>
        </w:tc>
      </w:tr>
      <w:tr>
        <w:tc>
          <w:tcPr>
            <w:tcW w:type="dxa" w:w="4400"/>
            <w:tcMar>
              <w:top w:type="dxa" w:w="80"/>
              <w:left w:type="dxa" w:w="100"/>
              <w:bottom w:type="dxa" w:w="80"/>
              <w:right w:type="dxa" w:w="100"/>
            </w:tcMar>
          </w:tcPr>
          <w:p>
            <w:r>
              <w:rPr>
                <w:b w:val="false"/>
                <w:bCs w:val="false"/>
                <w:color w:val="000000"/>
                <w:sz w:val="20"/>
                <w:szCs w:val="20"/>
              </w:rPr>
              <w:t xml:space="preserve">Handling for partial PoD capture, failed API transmission, or corrupted documents</w:t>
            </w:r>
          </w:p>
        </w:tc>
        <w:tc>
          <w:tcPr>
            <w:tcW w:type="dxa" w:w="2600"/>
            <w:tcMar>
              <w:top w:type="dxa" w:w="80"/>
              <w:left w:type="dxa" w:w="100"/>
              <w:bottom w:type="dxa" w:w="80"/>
              <w:right w:type="dxa" w:w="100"/>
            </w:tcMar>
          </w:tcPr>
          <w:p>
            <w:r>
              <w:rPr>
                <w:b w:val="false"/>
                <w:bCs w:val="false"/>
                <w:color w:val="000000"/>
                <w:sz w:val="20"/>
                <w:szCs w:val="20"/>
              </w:rPr>
              <w:t xml:space="preserve">Sequel</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Grievance case data schema, and whether delivered via the same API as delivery status or a separate one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Sequel</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r>
        <w:tc>
          <w:tcPr>
            <w:tcW w:type="dxa" w:w="4400"/>
            <w:tcMar>
              <w:top w:type="dxa" w:w="80"/>
              <w:left w:type="dxa" w:w="100"/>
              <w:bottom w:type="dxa" w:w="80"/>
              <w:right w:type="dxa" w:w="100"/>
            </w:tcMar>
          </w:tcPr>
          <w:p>
            <w:r>
              <w:rPr>
                <w:b w:val="false"/>
                <w:bCs w:val="false"/>
                <w:color w:val="000000"/>
                <w:sz w:val="20"/>
                <w:szCs w:val="20"/>
              </w:rPr>
              <w:t xml:space="preserve">Full API/webhook contract — authentication, payload schema, retry policy, secure document delivery</w:t>
            </w:r>
          </w:p>
        </w:tc>
        <w:tc>
          <w:tcPr>
            <w:tcW w:type="dxa" w:w="2600"/>
            <w:tcMar>
              <w:top w:type="dxa" w:w="80"/>
              <w:left w:type="dxa" w:w="100"/>
              <w:bottom w:type="dxa" w:w="80"/>
              <w:right w:type="dxa" w:w="100"/>
            </w:tcMar>
          </w:tcPr>
          <w:p>
            <w:r>
              <w:rPr>
                <w:b w:val="false"/>
                <w:bCs w:val="false"/>
                <w:color w:val="000000"/>
                <w:sz w:val="20"/>
                <w:szCs w:val="20"/>
              </w:rPr>
              <w:t xml:space="preserve">Titan + Sequel</w:t>
            </w:r>
          </w:p>
        </w:tc>
        <w:tc>
          <w:tcPr>
            <w:tcW w:type="dxa" w:w="1600"/>
            <w:tcMar>
              <w:top w:type="dxa" w:w="80"/>
              <w:left w:type="dxa" w:w="100"/>
              <w:bottom w:type="dxa" w:w="80"/>
              <w:right w:type="dxa" w:w="100"/>
            </w:tcMar>
          </w:tcPr>
          <w:p>
            <w:r>
              <w:rPr>
                <w:b w:val="false"/>
                <w:bCs w:val="false"/>
                <w:color w:val="000000"/>
                <w:sz w:val="20"/>
                <w:szCs w:val="20"/>
              </w:rPr>
              <w:t xml:space="preserve"/>
            </w:r>
          </w:p>
        </w:tc>
      </w:tr>
    </w:tbl>
    <w:p>
      <w:pPr>
        <w:pStyle w:val="Heading3"/>
        <w:spacing w:after="90" w:before="200"/>
      </w:pPr>
      <w:r>
        <w:rPr>
          <w:b/>
          <w:bCs/>
          <w:color w:val="1E2761"/>
          <w:sz w:val="21"/>
          <w:szCs w:val="21"/>
        </w:rPr>
        <w:t xml:space="preserve">9.4 Status, access &amp; reporting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1600"/>
      </w:tblGrid>
      <w:tr>
        <w:trPr>
          <w:tblHeader/>
        </w:trPr>
        <w:tc>
          <w:tcPr>
            <w:tcW w:type="dxa" w:w="4400"/>
            <w:shd w:fill="1E2761" w:val="clear"/>
            <w:tcMar>
              <w:top w:type="dxa" w:w="80"/>
              <w:left w:type="dxa" w:w="100"/>
              <w:bottom w:type="dxa" w:w="80"/>
              <w:right w:type="dxa" w:w="100"/>
            </w:tcMar>
          </w:tcPr>
          <w:p>
            <w:r>
              <w:rPr>
                <w:b/>
                <w:bCs/>
                <w:color w:val="FFFFFF"/>
                <w:sz w:val="20"/>
                <w:szCs w:val="20"/>
              </w:rPr>
              <w:t xml:space="preserve">Open point</w:t>
            </w:r>
          </w:p>
        </w:tc>
        <w:tc>
          <w:tcPr>
            <w:tcW w:type="dxa" w:w="2600"/>
            <w:shd w:fill="1E2761" w:val="clear"/>
            <w:tcMar>
              <w:top w:type="dxa" w:w="80"/>
              <w:left w:type="dxa" w:w="100"/>
              <w:bottom w:type="dxa" w:w="80"/>
              <w:right w:type="dxa" w:w="100"/>
            </w:tcMar>
          </w:tcPr>
          <w:p>
            <w:r>
              <w:rPr>
                <w:b/>
                <w:bCs/>
                <w:color w:val="FFFFFF"/>
                <w:sz w:val="20"/>
                <w:szCs w:val="20"/>
              </w:rPr>
              <w:t xml:space="preserve">Team / owner</w:t>
            </w:r>
          </w:p>
        </w:tc>
        <w:tc>
          <w:tcPr>
            <w:tcW w:type="dxa" w:w="1600"/>
            <w:shd w:fill="1E2761" w:val="clear"/>
            <w:tcMar>
              <w:top w:type="dxa" w:w="80"/>
              <w:left w:type="dxa" w:w="100"/>
              <w:bottom w:type="dxa" w:w="80"/>
              <w:right w:type="dxa" w:w="100"/>
            </w:tcMar>
          </w:tcPr>
          <w:p>
            <w:r>
              <w:rPr>
                <w:b/>
                <w:bCs/>
                <w:color w:val="FFFFFF"/>
                <w:sz w:val="20"/>
                <w:szCs w:val="20"/>
              </w:rPr>
              <w:t xml:space="preserve">Outcome</w:t>
            </w:r>
          </w:p>
        </w:tc>
      </w:tr>
      <w:tr>
        <w:tc>
          <w:tcPr>
            <w:tcW w:type="dxa" w:w="4400"/>
            <w:tcMar>
              <w:top w:type="dxa" w:w="80"/>
              <w:left w:type="dxa" w:w="100"/>
              <w:bottom w:type="dxa" w:w="80"/>
              <w:right w:type="dxa" w:w="100"/>
            </w:tcMar>
          </w:tcPr>
          <w:p>
            <w:r>
              <w:rPr>
                <w:b w:val="false"/>
                <w:bCs w:val="false"/>
                <w:color w:val="000000"/>
                <w:sz w:val="20"/>
                <w:szCs w:val="20"/>
              </w:rPr>
              <w:t xml:space="preserve">Full set of final order end-states and what triggers each (delivered, cancelled, undeliverable, etc.)</w:t>
            </w:r>
          </w:p>
        </w:tc>
        <w:tc>
          <w:tcPr>
            <w:tcW w:type="dxa" w:w="2600"/>
            <w:tcMar>
              <w:top w:type="dxa" w:w="80"/>
              <w:left w:type="dxa" w:w="100"/>
              <w:bottom w:type="dxa" w:w="80"/>
              <w:right w:type="dxa" w:w="100"/>
            </w:tcMar>
          </w:tcPr>
          <w:p>
            <w:r>
              <w:rPr>
                <w:b w:val="false"/>
                <w:bCs w:val="false"/>
                <w:color w:val="000000"/>
                <w:sz w:val="20"/>
                <w:szCs w:val="20"/>
              </w:rPr>
              <w:t xml:space="preserve">CBG Finance + Sequel</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Whether TN Govt can take action in the platform on a failed delivery or a grievance case, or view-only is sufficient</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CBG Finance + TN Govt</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r>
        <w:tc>
          <w:tcPr>
            <w:tcW w:type="dxa" w:w="4400"/>
            <w:tcMar>
              <w:top w:type="dxa" w:w="80"/>
              <w:left w:type="dxa" w:w="100"/>
              <w:bottom w:type="dxa" w:w="80"/>
              <w:right w:type="dxa" w:w="100"/>
            </w:tcMar>
          </w:tcPr>
          <w:p>
            <w:r>
              <w:rPr>
                <w:b w:val="false"/>
                <w:bCs w:val="false"/>
                <w:color w:val="000000"/>
                <w:sz w:val="20"/>
                <w:szCs w:val="20"/>
              </w:rPr>
              <w:t xml:space="preserve">Whether price per coin or per order needs to be shown for audit and record purposes</w:t>
            </w:r>
          </w:p>
        </w:tc>
        <w:tc>
          <w:tcPr>
            <w:tcW w:type="dxa" w:w="2600"/>
            <w:tcMar>
              <w:top w:type="dxa" w:w="80"/>
              <w:left w:type="dxa" w:w="100"/>
              <w:bottom w:type="dxa" w:w="80"/>
              <w:right w:type="dxa" w:w="100"/>
            </w:tcMar>
          </w:tcPr>
          <w:p>
            <w:r>
              <w:rPr>
                <w:b w:val="false"/>
                <w:bCs w:val="false"/>
                <w:color w:val="000000"/>
                <w:sz w:val="20"/>
                <w:szCs w:val="20"/>
              </w:rPr>
              <w:t xml:space="preserve">CBG Finance</w:t>
            </w:r>
          </w:p>
        </w:tc>
        <w:tc>
          <w:tcPr>
            <w:tcW w:type="dxa" w:w="1600"/>
            <w:tcMar>
              <w:top w:type="dxa" w:w="80"/>
              <w:left w:type="dxa" w:w="100"/>
              <w:bottom w:type="dxa" w:w="80"/>
              <w:right w:type="dxa" w:w="100"/>
            </w:tcMar>
          </w:tcPr>
          <w:p>
            <w:r>
              <w:rPr>
                <w:b w:val="false"/>
                <w:bCs w:val="false"/>
                <w:color w:val="000000"/>
                <w:sz w:val="20"/>
                <w:szCs w:val="20"/>
              </w:rPr>
              <w:t xml:space="preserve"/>
            </w:r>
          </w:p>
        </w:tc>
      </w:tr>
    </w:tbl>
    <w:p>
      <w:pPr>
        <w:pStyle w:val="Heading3"/>
        <w:spacing w:after="90" w:before="200"/>
      </w:pPr>
      <w:r>
        <w:rPr>
          <w:b/>
          <w:bCs/>
          <w:color w:val="1E2761"/>
          <w:sz w:val="21"/>
          <w:szCs w:val="21"/>
        </w:rPr>
        <w:t xml:space="preserve">9.5 Compliance &amp; pending inputs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1600"/>
      </w:tblGrid>
      <w:tr>
        <w:trPr>
          <w:tblHeader/>
        </w:trPr>
        <w:tc>
          <w:tcPr>
            <w:tcW w:type="dxa" w:w="4400"/>
            <w:shd w:fill="1E2761" w:val="clear"/>
            <w:tcMar>
              <w:top w:type="dxa" w:w="80"/>
              <w:left w:type="dxa" w:w="100"/>
              <w:bottom w:type="dxa" w:w="80"/>
              <w:right w:type="dxa" w:w="100"/>
            </w:tcMar>
          </w:tcPr>
          <w:p>
            <w:r>
              <w:rPr>
                <w:b/>
                <w:bCs/>
                <w:color w:val="FFFFFF"/>
                <w:sz w:val="20"/>
                <w:szCs w:val="20"/>
              </w:rPr>
              <w:t xml:space="preserve">Open point</w:t>
            </w:r>
          </w:p>
        </w:tc>
        <w:tc>
          <w:tcPr>
            <w:tcW w:type="dxa" w:w="2600"/>
            <w:shd w:fill="1E2761" w:val="clear"/>
            <w:tcMar>
              <w:top w:type="dxa" w:w="80"/>
              <w:left w:type="dxa" w:w="100"/>
              <w:bottom w:type="dxa" w:w="80"/>
              <w:right w:type="dxa" w:w="100"/>
            </w:tcMar>
          </w:tcPr>
          <w:p>
            <w:r>
              <w:rPr>
                <w:b/>
                <w:bCs/>
                <w:color w:val="FFFFFF"/>
                <w:sz w:val="20"/>
                <w:szCs w:val="20"/>
              </w:rPr>
              <w:t xml:space="preserve">Team / owner</w:t>
            </w:r>
          </w:p>
        </w:tc>
        <w:tc>
          <w:tcPr>
            <w:tcW w:type="dxa" w:w="1600"/>
            <w:shd w:fill="1E2761" w:val="clear"/>
            <w:tcMar>
              <w:top w:type="dxa" w:w="80"/>
              <w:left w:type="dxa" w:w="100"/>
              <w:bottom w:type="dxa" w:w="80"/>
              <w:right w:type="dxa" w:w="100"/>
            </w:tcMar>
          </w:tcPr>
          <w:p>
            <w:r>
              <w:rPr>
                <w:b/>
                <w:bCs/>
                <w:color w:val="FFFFFF"/>
                <w:sz w:val="20"/>
                <w:szCs w:val="20"/>
              </w:rPr>
              <w:t xml:space="preserve">Outcome</w:t>
            </w:r>
          </w:p>
        </w:tc>
      </w:tr>
      <w:tr>
        <w:tc>
          <w:tcPr>
            <w:tcW w:type="dxa" w:w="4400"/>
            <w:tcMar>
              <w:top w:type="dxa" w:w="80"/>
              <w:left w:type="dxa" w:w="100"/>
              <w:bottom w:type="dxa" w:w="80"/>
              <w:right w:type="dxa" w:w="100"/>
            </w:tcMar>
          </w:tcPr>
          <w:p>
            <w:r>
              <w:rPr>
                <w:b w:val="false"/>
                <w:bCs w:val="false"/>
                <w:color w:val="000000"/>
                <w:sz w:val="20"/>
                <w:szCs w:val="20"/>
              </w:rPr>
              <w:t xml:space="preserve">Legal/compliance clearance to store the beneficiary's ID photo under the DPDP Act</w:t>
            </w:r>
          </w:p>
        </w:tc>
        <w:tc>
          <w:tcPr>
            <w:tcW w:type="dxa" w:w="2600"/>
            <w:tcMar>
              <w:top w:type="dxa" w:w="80"/>
              <w:left w:type="dxa" w:w="100"/>
              <w:bottom w:type="dxa" w:w="80"/>
              <w:right w:type="dxa" w:w="100"/>
            </w:tcMar>
          </w:tcPr>
          <w:p>
            <w:r>
              <w:rPr>
                <w:b w:val="false"/>
                <w:bCs w:val="false"/>
                <w:color w:val="000000"/>
                <w:sz w:val="20"/>
                <w:szCs w:val="20"/>
              </w:rPr>
              <w:t xml:space="preserve">Titan Legal</w:t>
            </w:r>
          </w:p>
        </w:tc>
        <w:tc>
          <w:tcPr>
            <w:tcW w:type="dxa" w:w="1600"/>
            <w:tcMar>
              <w:top w:type="dxa" w:w="80"/>
              <w:left w:type="dxa" w:w="100"/>
              <w:bottom w:type="dxa" w:w="80"/>
              <w:right w:type="dxa" w:w="100"/>
            </w:tcMar>
          </w:tcPr>
          <w:p>
            <w:r>
              <w:rPr>
                <w:b w:val="false"/>
                <w:bCs w:val="false"/>
                <w:color w:val="000000"/>
                <w:sz w:val="20"/>
                <w:szCs w:val="20"/>
              </w:rPr>
              <w:t xml:space="preserve"/>
            </w:r>
          </w:p>
        </w:tc>
      </w:tr>
      <w:tr>
        <w:tc>
          <w:tcPr>
            <w:tcW w:type="dxa" w:w="4400"/>
            <w:shd w:fill="F2F2F2" w:val="clear"/>
            <w:tcMar>
              <w:top w:type="dxa" w:w="80"/>
              <w:left w:type="dxa" w:w="100"/>
              <w:bottom w:type="dxa" w:w="80"/>
              <w:right w:type="dxa" w:w="100"/>
            </w:tcMar>
          </w:tcPr>
          <w:p>
            <w:r>
              <w:rPr>
                <w:b w:val="false"/>
                <w:bCs w:val="false"/>
                <w:color w:val="000000"/>
                <w:sz w:val="20"/>
                <w:szCs w:val="20"/>
              </w:rPr>
              <w:t xml:space="preserve">List of names/numbers to populate the contact &amp; helpline directory (3.15)</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Titan (internal — to supply)</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
            </w:r>
          </w:p>
        </w:tc>
      </w:tr>
      <w:tr>
        <w:tc>
          <w:tcPr>
            <w:tcW w:type="dxa" w:w="4400"/>
            <w:tcMar>
              <w:top w:type="dxa" w:w="80"/>
              <w:left w:type="dxa" w:w="100"/>
              <w:bottom w:type="dxa" w:w="80"/>
              <w:right w:type="dxa" w:w="100"/>
            </w:tcMar>
          </w:tcPr>
          <w:p>
            <w:r>
              <w:rPr>
                <w:b w:val="false"/>
                <w:bCs w:val="false"/>
                <w:color w:val="000000"/>
                <w:sz w:val="20"/>
                <w:szCs w:val="20"/>
              </w:rPr>
              <w:t xml:space="preserve">Integration mechanism with Oracle (API, file, or manual) for the stock-quantity request in 3.5</w:t>
            </w:r>
          </w:p>
        </w:tc>
        <w:tc>
          <w:tcPr>
            <w:tcW w:type="dxa" w:w="2600"/>
            <w:tcMar>
              <w:top w:type="dxa" w:w="80"/>
              <w:left w:type="dxa" w:w="100"/>
              <w:bottom w:type="dxa" w:w="80"/>
              <w:right w:type="dxa" w:w="100"/>
            </w:tcMar>
          </w:tcPr>
          <w:p>
            <w:r>
              <w:rPr>
                <w:b w:val="false"/>
                <w:bCs w:val="false"/>
                <w:color w:val="000000"/>
                <w:sz w:val="20"/>
                <w:szCs w:val="20"/>
              </w:rPr>
              <w:t xml:space="preserve">Titan (internal)</w:t>
            </w:r>
          </w:p>
        </w:tc>
        <w:tc>
          <w:tcPr>
            <w:tcW w:type="dxa" w:w="1600"/>
            <w:tcMar>
              <w:top w:type="dxa" w:w="80"/>
              <w:left w:type="dxa" w:w="100"/>
              <w:bottom w:type="dxa" w:w="80"/>
              <w:right w:type="dxa" w:w="100"/>
            </w:tcMar>
          </w:tcPr>
          <w:p>
            <w:r>
              <w:rPr>
                <w:b w:val="false"/>
                <w:bCs w:val="false"/>
                <w:color w:val="000000"/>
                <w:sz w:val="20"/>
                <w:szCs w:val="20"/>
              </w:rPr>
              <w:t xml:space="preserve"/>
            </w:r>
          </w:p>
        </w:tc>
      </w:tr>
    </w:tbl>
    <w:p>
      <w:pPr>
        <w:pStyle w:val="Heading1"/>
        <w:spacing w:after="150" w:before="320"/>
      </w:pPr>
      <w:r>
        <w:rPr>
          <w:b/>
          <w:bCs/>
          <w:color w:val="1E2761"/>
        </w:rPr>
        <w:t xml:space="preserve">10. Additional features for user experience</w:t>
      </w:r>
    </w:p>
    <w:p>
      <w:pPr>
        <w:pStyle w:val="Heading2"/>
        <w:spacing w:after="100" w:before="220"/>
      </w:pPr>
      <w:r>
        <w:rPr>
          <w:b/>
          <w:bCs/>
          <w:color w:val="1E2761"/>
          <w:sz w:val="24"/>
          <w:szCs w:val="24"/>
        </w:rPr>
        <w:t xml:space="preserve">10.1 For TN Govt</w:t>
      </w:r>
    </w:p>
    <w:p>
      <w:pPr>
        <w:pStyle w:val="ListParagraph"/>
        <w:numPr>
          <w:ilvl w:val="0"/>
          <w:numId w:val="2"/>
        </w:numPr>
        <w:spacing w:after="60"/>
      </w:pPr>
      <w:r>
        <w:t xml:space="preserve">Upload confirmation screen — record count, batch ID, and all validation errors shown together with row/field detail.</w:t>
      </w:r>
    </w:p>
    <w:p>
      <w:pPr>
        <w:pStyle w:val="ListParagraph"/>
        <w:numPr>
          <w:ilvl w:val="0"/>
          <w:numId w:val="2"/>
        </w:numPr>
        <w:spacing w:after="60"/>
      </w:pPr>
      <w:r>
        <w:t xml:space="preserve">Dashboard summary cards — total beneficiaries, delivered, in progress, rescheduled, at-risk/breached.</w:t>
      </w:r>
    </w:p>
    <w:p>
      <w:pPr>
        <w:pStyle w:val="ListParagraph"/>
        <w:numPr>
          <w:ilvl w:val="0"/>
          <w:numId w:val="2"/>
        </w:numPr>
        <w:spacing w:after="60"/>
      </w:pPr>
      <w:r>
        <w:t xml:space="preserve">Search and filter — by name, pincode, district, mobile number, status, reschedule/grievance flag.</w:t>
      </w:r>
    </w:p>
    <w:p>
      <w:pPr>
        <w:pStyle w:val="ListParagraph"/>
        <w:numPr>
          <w:ilvl w:val="0"/>
          <w:numId w:val="2"/>
        </w:numPr>
        <w:spacing w:after="60"/>
      </w:pPr>
      <w:r>
        <w:t xml:space="preserve">Colour-coded status indicators, including distinct tags for rescheduled deliveries and open grievance cases.</w:t>
      </w:r>
    </w:p>
    <w:p>
      <w:pPr>
        <w:pStyle w:val="ListParagraph"/>
        <w:numPr>
          <w:ilvl w:val="0"/>
          <w:numId w:val="2"/>
        </w:numPr>
        <w:spacing w:after="60"/>
      </w:pPr>
      <w:r>
        <w:t xml:space="preserve">One-click delivery certificate export per beneficiary.</w:t>
      </w:r>
    </w:p>
    <w:p>
      <w:pPr>
        <w:pStyle w:val="ListParagraph"/>
        <w:numPr>
          <w:ilvl w:val="0"/>
          <w:numId w:val="2"/>
        </w:numPr>
        <w:spacing w:after="60"/>
      </w:pPr>
      <w:r>
        <w:t xml:space="preserve">Full batch/upload history view.</w:t>
      </w:r>
    </w:p>
    <w:p>
      <w:pPr>
        <w:pStyle w:val="Heading2"/>
        <w:spacing w:after="100" w:before="220"/>
      </w:pPr>
      <w:r>
        <w:rPr>
          <w:b/>
          <w:bCs/>
          <w:color w:val="1E2761"/>
          <w:sz w:val="24"/>
          <w:szCs w:val="24"/>
        </w:rPr>
        <w:t xml:space="preserve">10.2 For Titan (CBG Finance + developers)</w:t>
      </w:r>
    </w:p>
    <w:p>
      <w:pPr>
        <w:pStyle w:val="ListParagraph"/>
        <w:numPr>
          <w:ilvl w:val="0"/>
          <w:numId w:val="2"/>
        </w:numPr>
        <w:spacing w:after="60"/>
      </w:pPr>
      <w:r>
        <w:t xml:space="preserve">Reverse lookup by coin serial number or AWB.</w:t>
      </w:r>
    </w:p>
    <w:p>
      <w:pPr>
        <w:pStyle w:val="ListParagraph"/>
        <w:numPr>
          <w:ilvl w:val="0"/>
          <w:numId w:val="2"/>
        </w:numPr>
        <w:spacing w:after="60"/>
      </w:pPr>
      <w:r>
        <w:t xml:space="preserve">Export presets — delivered this month, pending, rescheduled, open grievances.</w:t>
      </w:r>
    </w:p>
    <w:p>
      <w:pPr>
        <w:pStyle w:val="ListParagraph"/>
        <w:numPr>
          <w:ilvl w:val="0"/>
          <w:numId w:val="2"/>
        </w:numPr>
        <w:spacing w:after="60"/>
      </w:pPr>
      <w:r>
        <w:t xml:space="preserve">Activity log of who exported or viewed sensitive records and when.</w:t>
      </w:r>
    </w:p>
    <w:p>
      <w:pPr>
        <w:pStyle w:val="Heading2"/>
        <w:spacing w:after="100" w:before="220"/>
      </w:pPr>
      <w:r>
        <w:rPr>
          <w:b/>
          <w:bCs/>
          <w:color w:val="1E2761"/>
          <w:sz w:val="24"/>
          <w:szCs w:val="24"/>
        </w:rPr>
        <w:t xml:space="preserve">10.3 Shared, cross-cutting</w:t>
      </w:r>
    </w:p>
    <w:p>
      <w:pPr>
        <w:pStyle w:val="ListParagraph"/>
        <w:numPr>
          <w:ilvl w:val="0"/>
          <w:numId w:val="2"/>
        </w:numPr>
        <w:spacing w:after="60"/>
      </w:pPr>
      <w:r>
        <w:t xml:space="preserve">Consistent timestamp format (IST, unambiguous date format).</w:t>
      </w:r>
    </w:p>
    <w:p>
      <w:pPr>
        <w:pStyle w:val="ListParagraph"/>
        <w:numPr>
          <w:ilvl w:val="0"/>
          <w:numId w:val="2"/>
        </w:numPr>
        <w:spacing w:after="60"/>
      </w:pPr>
      <w:r>
        <w:t xml:space="preserve">Mobile-responsive views.</w:t>
      </w:r>
    </w:p>
    <w:p>
      <w:pPr>
        <w:pStyle w:val="ListParagraph"/>
        <w:numPr>
          <w:ilvl w:val="0"/>
          <w:numId w:val="2"/>
        </w:numPr>
        <w:spacing w:after="60"/>
      </w:pPr>
      <w:r>
        <w:t xml:space="preserve">Print-friendly single-beneficiary view.</w:t>
      </w:r>
    </w:p>
    <w:p>
      <w:pPr>
        <w:pStyle w:val="ListParagraph"/>
        <w:numPr>
          <w:ilvl w:val="0"/>
          <w:numId w:val="2"/>
        </w:numPr>
        <w:spacing w:after="60"/>
      </w:pPr>
      <w:r>
        <w:t xml:space="preserve">Contact &amp; helpline directory always accessible from the main navigation.</w:t>
      </w:r>
    </w:p>
    <w:p>
      <w:pPr>
        <w:pStyle w:val="Heading1"/>
        <w:spacing w:after="150" w:before="320"/>
      </w:pPr>
      <w:r>
        <w:rPr>
          <w:b/>
          <w:bCs/>
          <w:color w:val="1E2761"/>
        </w:rPr>
        <w:t xml:space="preserve">11. Reference</w:t>
      </w:r>
    </w:p>
    <w:p>
      <w:pPr>
        <w:spacing w:after="120"/>
      </w:pPr>
      <w:r>
        <w:rPr>
          <w:i/>
          <w:iCs/>
          <w:color w:val="5F5E5A"/>
          <w:sz w:val="20"/>
          <w:szCs w:val="20"/>
        </w:rPr>
        <w:t xml:space="preserve">Source: original BRD v1.0 (3 July 2026); Sequel Last-Mile Delivery Process deck; working discussion and finalized scope (August 2026); team clarification responses on open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2026-09-06T13:30:16.115Z</dcterms:created>
  <dcterms:modified xsi:type="dcterms:W3CDTF">2026-09-06T13:30:16.115Z</dcterms:modified>
</cp:coreProperties>
</file>

<file path=docProps/custom.xml><?xml version="1.0" encoding="utf-8"?>
<Properties xmlns="http://schemas.openxmlformats.org/officeDocument/2006/custom-properties" xmlns:vt="http://schemas.openxmlformats.org/officeDocument/2006/docPropsVTypes"/>
</file>