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sz w:val="20"/>
          <w:szCs w:val="20"/>
        </w:rPr>
        <w:t xml:space="preserve"/>
      </w:r>
    </w:p>
    <w:p>
      <w:r>
        <w:rPr>
          <w:sz w:val="20"/>
          <w:szCs w:val="20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3B" w:val="clear"/>
            <w:tcMar>
              <w:top w:type="dxa" w:w="400"/>
              <w:left w:type="dxa" w:w="500"/>
              <w:bottom w:type="dxa" w:w="400"/>
              <w:right w:type="dxa" w:w="500"/>
            </w:tcMar>
          </w:tcPr>
          <w:p>
            <w:pPr>
              <w:spacing w:after="12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INVENTORY KPI TRACKING SYSTEM</w:t>
            </w: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A8C4D8"/>
                <w:sz w:val="28"/>
                <w:szCs w:val="28"/>
              </w:rPr>
              <w:t xml:space="preserve">Project Brief &amp; Implementation Plan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7FB3CC"/>
                <w:sz w:val="22"/>
                <w:szCs w:val="22"/>
              </w:rPr>
              <w:t xml:space="preserve">Saket Warehouse  |  Mumbai Warehouse  |  ONT &amp; Router</w:t>
            </w:r>
          </w:p>
        </w:tc>
      </w:tr>
    </w:tbl>
    <w:p>
      <w:r>
        <w:rPr>
          <w:sz w:val="20"/>
          <w:szCs w:val="20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46E7A"/>
                <w:sz w:val="18"/>
                <w:szCs w:val="18"/>
              </w:rPr>
              <w:t xml:space="preserve">Prepared by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3B"/>
                <w:sz w:val="20"/>
                <w:szCs w:val="20"/>
              </w:rPr>
              <w:t xml:space="preserve">Inventory Analytics Team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46E7A"/>
                <w:sz w:val="18"/>
                <w:szCs w:val="18"/>
              </w:rPr>
              <w:t xml:space="preserve">Date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B3A"/>
                <w:sz w:val="20"/>
                <w:szCs w:val="20"/>
              </w:rPr>
              <w:t xml:space="preserve">April 2026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46E7A"/>
                <w:sz w:val="18"/>
                <w:szCs w:val="18"/>
              </w:rPr>
              <w:t xml:space="preserve">Version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v1.0 — Draft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r>
        <w:rPr>
          <w:sz w:val="20"/>
          <w:szCs w:val="20"/>
        </w:rPr>
        <w:t xml:space="preserve"/>
      </w:r>
    </w:p>
    <w:p>
      <w:pPr>
        <w:pBdr>
          <w:bottom w:val="single" w:color="1B2A3B" w:sz="8" w:space="4"/>
        </w:pBdr>
        <w:spacing w:after="120" w:before="280"/>
      </w:pPr>
      <w:r>
        <w:rPr>
          <w:rFonts w:ascii="Arial" w:cs="Arial" w:eastAsia="Arial" w:hAnsi="Arial"/>
          <w:b/>
          <w:bCs/>
          <w:color w:val="1B2A3B"/>
          <w:sz w:val="28"/>
          <w:szCs w:val="28"/>
        </w:rPr>
        <w:t xml:space="preserve">1.  Executive Summary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This document outlines the design and implementation plan for a real-time Inventory KPI Tracking System for Wiom's Mumbai and Saket warehouses. The system will provide end-to-end visibility of device stock — specifically ONT and Router — by consolidating inbound and outbound transaction data into a unified, trackable dashboard.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The baseline for the system is set at January 2026, with all future stock movements tracked daily from that point forward.</w:t>
      </w:r>
    </w:p>
    <w:p>
      <w:r>
        <w:rPr>
          <w:sz w:val="20"/>
          <w:szCs w:val="20"/>
        </w:rPr>
        <w:t xml:space="preserve"/>
      </w:r>
    </w:p>
    <w:p>
      <w:pPr>
        <w:pBdr>
          <w:bottom w:val="single" w:color="1B2A3B" w:sz="8" w:space="4"/>
        </w:pBdr>
        <w:spacing w:after="120" w:before="280"/>
      </w:pPr>
      <w:r>
        <w:rPr>
          <w:rFonts w:ascii="Arial" w:cs="Arial" w:eastAsia="Arial" w:hAnsi="Arial"/>
          <w:b/>
          <w:bCs/>
          <w:color w:val="1B2A3B"/>
          <w:sz w:val="28"/>
          <w:szCs w:val="28"/>
        </w:rPr>
        <w:t xml:space="preserve">2.  Objective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Provide real-time stock visibility for ONT and Router devices across Saket and Mumbai warehouses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Enable daily tracking of stock inflows and outflows with clear categorisation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Build KPIs that help leadership make data-driven procurement and dispatch decisions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Identify bottlenecks such as GRN pending closure, rising return rates, and vendor quality issues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Establish a reproducible, automated data pipeline using Metabase + Snowflake</w:t>
      </w:r>
    </w:p>
    <w:p>
      <w:r>
        <w:rPr>
          <w:sz w:val="20"/>
          <w:szCs w:val="20"/>
        </w:rPr>
        <w:t xml:space="preserve"/>
      </w:r>
    </w:p>
    <w:p>
      <w:pPr>
        <w:pBdr>
          <w:bottom w:val="single" w:color="1B2A3B" w:sz="8" w:space="4"/>
        </w:pBdr>
        <w:spacing w:after="120" w:before="280"/>
      </w:pPr>
      <w:r>
        <w:rPr>
          <w:rFonts w:ascii="Arial" w:cs="Arial" w:eastAsia="Arial" w:hAnsi="Arial"/>
          <w:b/>
          <w:bCs/>
          <w:color w:val="1B2A3B"/>
          <w:sz w:val="28"/>
          <w:szCs w:val="28"/>
        </w:rPr>
        <w:t xml:space="preserve">3.  Data Sources &amp; Infrastructure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All data is sourced from the Pyrops WMS system, synced to Snowflake via Fivetran, and accessed through Metabase (https://metabase.wiom.in). Six core tables drive the entire KPI framework:</w:t>
      </w:r>
    </w:p>
    <w:p>
      <w:r>
        <w:rPr>
          <w:sz w:val="20"/>
          <w:szCs w:val="20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3600"/>
        <w:gridCol w:w="2680"/>
      </w:tblGrid>
      <w:tr>
        <w:tc>
          <w:tcPr>
            <w:tcW w:type="dxa" w:w="3800"/>
            <w:tcBorders>
              <w:top w:val="single" w:color="1B2A3B" w:sz="4"/>
              <w:left w:val="single" w:color="1B2A3B" w:sz="4"/>
              <w:bottom w:val="single" w:color="1B2A3B" w:sz="4"/>
              <w:right w:val="single" w:color="1B2A3B" w:sz="4"/>
            </w:tcBorders>
            <w:shd w:fill="1B2A3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Table Name</w:t>
            </w:r>
          </w:p>
        </w:tc>
        <w:tc>
          <w:tcPr>
            <w:tcW w:type="dxa" w:w="3600"/>
            <w:tcBorders>
              <w:top w:val="single" w:color="1B2A3B" w:sz="4"/>
              <w:left w:val="single" w:color="1B2A3B" w:sz="4"/>
              <w:bottom w:val="single" w:color="1B2A3B" w:sz="4"/>
              <w:right w:val="single" w:color="1B2A3B" w:sz="4"/>
            </w:tcBorders>
            <w:shd w:fill="1B2A3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Transaction Type</w:t>
            </w:r>
          </w:p>
        </w:tc>
        <w:tc>
          <w:tcPr>
            <w:tcW w:type="dxa" w:w="2680"/>
            <w:tcBorders>
              <w:top w:val="single" w:color="1B2A3B" w:sz="4"/>
              <w:left w:val="single" w:color="1B2A3B" w:sz="4"/>
              <w:bottom w:val="single" w:color="1B2A3B" w:sz="4"/>
              <w:right w:val="single" w:color="1B2A3B" w:sz="4"/>
            </w:tcBorders>
            <w:shd w:fill="1B2A3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Direction</w:t>
            </w:r>
          </w:p>
        </w:tc>
      </w:tr>
      <w:tr>
        <w:tc>
          <w:tcPr>
            <w:tcW w:type="dxa" w:w="3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PYROPS_INBOUND_DATA__INWARD</w:t>
            </w:r>
          </w:p>
        </w:tc>
        <w:tc>
          <w:tcPr>
            <w:tcW w:type="dxa" w:w="36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Fresh GRN received from Vendor</w:t>
            </w:r>
          </w:p>
        </w:tc>
        <w:tc>
          <w:tcPr>
            <w:tcW w:type="dxa" w:w="268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INBOUND (+)</w:t>
            </w:r>
          </w:p>
        </w:tc>
      </w:tr>
      <w:tr>
        <w:tc>
          <w:tcPr>
            <w:tcW w:type="dxa" w:w="3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PYROPS_INBOUND_DATA__SALES_RETURN</w:t>
            </w:r>
          </w:p>
        </w:tc>
        <w:tc>
          <w:tcPr>
            <w:tcW w:type="dxa" w:w="36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Devices returned from Partner / Customer</w:t>
            </w:r>
          </w:p>
        </w:tc>
        <w:tc>
          <w:tcPr>
            <w:tcW w:type="dxa" w:w="268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INBOUND (+)</w:t>
            </w:r>
          </w:p>
        </w:tc>
      </w:tr>
      <w:tr>
        <w:tc>
          <w:tcPr>
            <w:tcW w:type="dxa" w:w="3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PYROPS_INBOUND_DATA__TRANSFER_RECEIPT</w:t>
            </w:r>
          </w:p>
        </w:tc>
        <w:tc>
          <w:tcPr>
            <w:tcW w:type="dxa" w:w="36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STN (inter-warehouse) receipt</w:t>
            </w:r>
          </w:p>
        </w:tc>
        <w:tc>
          <w:tcPr>
            <w:tcW w:type="dxa" w:w="268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INBOUND (+)</w:t>
            </w:r>
          </w:p>
        </w:tc>
      </w:tr>
      <w:tr>
        <w:tc>
          <w:tcPr>
            <w:tcW w:type="dxa" w:w="3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PYROPS_SALE_DETAIL</w:t>
            </w:r>
          </w:p>
        </w:tc>
        <w:tc>
          <w:tcPr>
            <w:tcW w:type="dxa" w:w="36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Dispatch to Partner</w:t>
            </w:r>
          </w:p>
        </w:tc>
        <w:tc>
          <w:tcPr>
            <w:tcW w:type="dxa" w:w="268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OUTBOUND (-)</w:t>
            </w:r>
          </w:p>
        </w:tc>
      </w:tr>
      <w:tr>
        <w:tc>
          <w:tcPr>
            <w:tcW w:type="dxa" w:w="3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PYROPS_SALE_DETAIL__TRANSFER</w:t>
            </w:r>
          </w:p>
        </w:tc>
        <w:tc>
          <w:tcPr>
            <w:tcW w:type="dxa" w:w="36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STN (inter-warehouse) dispatch</w:t>
            </w:r>
          </w:p>
        </w:tc>
        <w:tc>
          <w:tcPr>
            <w:tcW w:type="dxa" w:w="268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OUTBOUND (-)</w:t>
            </w:r>
          </w:p>
        </w:tc>
      </w:tr>
      <w:tr>
        <w:tc>
          <w:tcPr>
            <w:tcW w:type="dxa" w:w="3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PYROPS_SALE_DETAIL__PURCHASE_RETURN</w:t>
            </w:r>
          </w:p>
        </w:tc>
        <w:tc>
          <w:tcPr>
            <w:tcW w:type="dxa" w:w="36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Return to Vendor (RTV)</w:t>
            </w:r>
          </w:p>
        </w:tc>
        <w:tc>
          <w:tcPr>
            <w:tcW w:type="dxa" w:w="268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OUTBOUND (-)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Device filter applied: ONT (DESCRIPTION ILIKE '%ONT%') and Router (DESCRIPTION ILIKE '%ROUTER%' or TYPE = 'ROUTER').</w:t>
      </w:r>
    </w:p>
    <w:p>
      <w:r>
        <w:rPr>
          <w:sz w:val="20"/>
          <w:szCs w:val="20"/>
        </w:rPr>
        <w:t xml:space="preserve"/>
      </w:r>
    </w:p>
    <w:p>
      <w:r>
        <w:br w:type="page"/>
      </w:r>
    </w:p>
    <w:p>
      <w:pPr>
        <w:pBdr>
          <w:bottom w:val="single" w:color="1B2A3B" w:sz="8" w:space="4"/>
        </w:pBdr>
        <w:spacing w:after="120" w:before="280"/>
      </w:pPr>
      <w:r>
        <w:rPr>
          <w:rFonts w:ascii="Arial" w:cs="Arial" w:eastAsia="Arial" w:hAnsi="Arial"/>
          <w:b/>
          <w:bCs/>
          <w:color w:val="1B2A3B"/>
          <w:sz w:val="28"/>
          <w:szCs w:val="28"/>
        </w:rPr>
        <w:t xml:space="preserve">4.  Monthly Stock Ledger — Report Format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The Monthly Stock Ledger summarises all movements for a given month across device types. Opening Stock of one month equals Closing Stock of the previous month. January 2026 opening stock is treated as the baseline (0).</w:t>
      </w:r>
    </w:p>
    <w:p>
      <w:r>
        <w:rPr>
          <w:sz w:val="20"/>
          <w:szCs w:val="20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20"/>
        <w:gridCol w:w="1820"/>
        <w:gridCol w:w="1820"/>
        <w:gridCol w:w="1820"/>
      </w:tblGrid>
      <w:tr>
        <w:tc>
          <w:tcPr>
            <w:gridSpan w:val="4"/>
            <w:tcBorders>
              <w:top w:val="single" w:color="1B2A3B" w:sz="4"/>
              <w:left w:val="single" w:color="1B2A3B" w:sz="4"/>
              <w:bottom w:val="single" w:color="1B2A3B" w:sz="4"/>
              <w:right w:val="single" w:color="1B2A3B" w:sz="4"/>
            </w:tcBorders>
            <w:shd w:fill="1B2A3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January 2026  (Baseline Reference)</w:t>
            </w:r>
          </w:p>
        </w:tc>
      </w:tr>
      <w:tr>
        <w:tc>
          <w:tcPr>
            <w:tcW w:type="dxa" w:w="2800"/>
            <w:tcBorders>
              <w:top w:val="single" w:color="243447" w:sz="4"/>
              <w:left w:val="single" w:color="243447" w:sz="4"/>
              <w:bottom w:val="single" w:color="243447" w:sz="4"/>
              <w:right w:val="single" w:color="243447" w:sz="4"/>
            </w:tcBorders>
            <w:shd w:fill="24344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PARTICULARS</w:t>
            </w:r>
          </w:p>
        </w:tc>
        <w:tc>
          <w:tcPr>
            <w:tcW w:type="dxa" w:w="1820"/>
            <w:tcBorders>
              <w:top w:val="single" w:color="243447" w:sz="4"/>
              <w:left w:val="single" w:color="243447" w:sz="4"/>
              <w:bottom w:val="single" w:color="243447" w:sz="4"/>
              <w:right w:val="single" w:color="243447" w:sz="4"/>
            </w:tcBorders>
            <w:shd w:fill="24344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ONT</w:t>
            </w:r>
          </w:p>
        </w:tc>
        <w:tc>
          <w:tcPr>
            <w:tcW w:type="dxa" w:w="1820"/>
            <w:tcBorders>
              <w:top w:val="single" w:color="243447" w:sz="4"/>
              <w:left w:val="single" w:color="243447" w:sz="4"/>
              <w:bottom w:val="single" w:color="243447" w:sz="4"/>
              <w:right w:val="single" w:color="243447" w:sz="4"/>
            </w:tcBorders>
            <w:shd w:fill="24344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ROUTER</w:t>
            </w:r>
          </w:p>
        </w:tc>
        <w:tc>
          <w:tcPr>
            <w:tcW w:type="dxa" w:w="1820"/>
            <w:tcBorders>
              <w:top w:val="single" w:color="243447" w:sz="4"/>
              <w:left w:val="single" w:color="243447" w:sz="4"/>
              <w:bottom w:val="single" w:color="243447" w:sz="4"/>
              <w:right w:val="single" w:color="243447" w:sz="4"/>
            </w:tcBorders>
            <w:shd w:fill="24344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TOTAL</w:t>
            </w:r>
          </w:p>
        </w:tc>
      </w:tr>
      <w:tr>
        <w:tc>
          <w:tcPr>
            <w:tcW w:type="dxa" w:w="2800"/>
            <w:tcBorders>
              <w:top w:val="single" w:color="1B2A3B" w:sz="4"/>
              <w:left w:val="single" w:color="1B2A3B" w:sz="4"/>
              <w:bottom w:val="single" w:color="1B2A3B" w:sz="4"/>
              <w:right w:val="single" w:color="1B2A3B" w:sz="4"/>
            </w:tcBorders>
            <w:shd w:fill="1B2A3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Opening Stock</w:t>
            </w:r>
          </w:p>
        </w:tc>
        <w:tc>
          <w:tcPr>
            <w:tcW w:type="dxa" w:w="1820"/>
            <w:tcBorders>
              <w:top w:val="single" w:color="1B2A3B" w:sz="4"/>
              <w:left w:val="single" w:color="1B2A3B" w:sz="4"/>
              <w:bottom w:val="single" w:color="1B2A3B" w:sz="4"/>
              <w:right w:val="single" w:color="1B2A3B" w:sz="4"/>
            </w:tcBorders>
            <w:shd w:fill="1B2A3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0</w:t>
            </w:r>
          </w:p>
        </w:tc>
        <w:tc>
          <w:tcPr>
            <w:tcW w:type="dxa" w:w="1820"/>
            <w:tcBorders>
              <w:top w:val="single" w:color="1B2A3B" w:sz="4"/>
              <w:left w:val="single" w:color="1B2A3B" w:sz="4"/>
              <w:bottom w:val="single" w:color="1B2A3B" w:sz="4"/>
              <w:right w:val="single" w:color="1B2A3B" w:sz="4"/>
            </w:tcBorders>
            <w:shd w:fill="1B2A3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0</w:t>
            </w:r>
          </w:p>
        </w:tc>
        <w:tc>
          <w:tcPr>
            <w:tcW w:type="dxa" w:w="1820"/>
            <w:tcBorders>
              <w:top w:val="single" w:color="1B2A3B" w:sz="4"/>
              <w:left w:val="single" w:color="1B2A3B" w:sz="4"/>
              <w:bottom w:val="single" w:color="1B2A3B" w:sz="4"/>
              <w:right w:val="single" w:color="1B2A3B" w:sz="4"/>
            </w:tcBorders>
            <w:shd w:fill="1B2A3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2800"/>
            <w:tcBorders>
              <w:top w:val="single" w:color="E8F5E9" w:sz="4"/>
              <w:left w:val="single" w:color="E8F5E9" w:sz="4"/>
              <w:bottom w:val="single" w:color="E8F5E9" w:sz="4"/>
              <w:right w:val="single" w:color="E8F5E9" w:sz="4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Fresh Inward (Vendor GRN)</w:t>
            </w:r>
          </w:p>
        </w:tc>
        <w:tc>
          <w:tcPr>
            <w:tcW w:type="dxa" w:w="1820"/>
            <w:tcBorders>
              <w:top w:val="single" w:color="E8F5E9" w:sz="4"/>
              <w:left w:val="single" w:color="E8F5E9" w:sz="4"/>
              <w:bottom w:val="single" w:color="E8F5E9" w:sz="4"/>
              <w:right w:val="single" w:color="E8F5E9" w:sz="4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6B3A"/>
                <w:sz w:val="20"/>
                <w:szCs w:val="20"/>
              </w:rPr>
              <w:t xml:space="preserve">5,500</w:t>
            </w:r>
          </w:p>
        </w:tc>
        <w:tc>
          <w:tcPr>
            <w:tcW w:type="dxa" w:w="1820"/>
            <w:tcBorders>
              <w:top w:val="single" w:color="E8F5E9" w:sz="4"/>
              <w:left w:val="single" w:color="E8F5E9" w:sz="4"/>
              <w:bottom w:val="single" w:color="E8F5E9" w:sz="4"/>
              <w:right w:val="single" w:color="E8F5E9" w:sz="4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6B3A"/>
                <w:sz w:val="20"/>
                <w:szCs w:val="20"/>
              </w:rPr>
              <w:t xml:space="preserve">0</w:t>
            </w:r>
          </w:p>
        </w:tc>
        <w:tc>
          <w:tcPr>
            <w:tcW w:type="dxa" w:w="1820"/>
            <w:tcBorders>
              <w:top w:val="single" w:color="E8F5E9" w:sz="4"/>
              <w:left w:val="single" w:color="E8F5E9" w:sz="4"/>
              <w:bottom w:val="single" w:color="E8F5E9" w:sz="4"/>
              <w:right w:val="single" w:color="E8F5E9" w:sz="4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6B3A"/>
                <w:sz w:val="20"/>
                <w:szCs w:val="20"/>
              </w:rPr>
              <w:t xml:space="preserve">5,500</w:t>
            </w:r>
          </w:p>
        </w:tc>
      </w:tr>
      <w:tr>
        <w:tc>
          <w:tcPr>
            <w:tcW w:type="dxa" w:w="2800"/>
            <w:tcBorders>
              <w:top w:val="single" w:color="E8F5E9" w:sz="4"/>
              <w:left w:val="single" w:color="E8F5E9" w:sz="4"/>
              <w:bottom w:val="single" w:color="E8F5E9" w:sz="4"/>
              <w:right w:val="single" w:color="E8F5E9" w:sz="4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Return (Refurbish) Inward</w:t>
            </w:r>
          </w:p>
        </w:tc>
        <w:tc>
          <w:tcPr>
            <w:tcW w:type="dxa" w:w="1820"/>
            <w:tcBorders>
              <w:top w:val="single" w:color="E8F5E9" w:sz="4"/>
              <w:left w:val="single" w:color="E8F5E9" w:sz="4"/>
              <w:bottom w:val="single" w:color="E8F5E9" w:sz="4"/>
              <w:right w:val="single" w:color="E8F5E9" w:sz="4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6B3A"/>
                <w:sz w:val="20"/>
                <w:szCs w:val="20"/>
              </w:rPr>
              <w:t xml:space="preserve">3,710</w:t>
            </w:r>
          </w:p>
        </w:tc>
        <w:tc>
          <w:tcPr>
            <w:tcW w:type="dxa" w:w="1820"/>
            <w:tcBorders>
              <w:top w:val="single" w:color="E8F5E9" w:sz="4"/>
              <w:left w:val="single" w:color="E8F5E9" w:sz="4"/>
              <w:bottom w:val="single" w:color="E8F5E9" w:sz="4"/>
              <w:right w:val="single" w:color="E8F5E9" w:sz="4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6B3A"/>
                <w:sz w:val="20"/>
                <w:szCs w:val="20"/>
              </w:rPr>
              <w:t xml:space="preserve">660</w:t>
            </w:r>
          </w:p>
        </w:tc>
        <w:tc>
          <w:tcPr>
            <w:tcW w:type="dxa" w:w="1820"/>
            <w:tcBorders>
              <w:top w:val="single" w:color="E8F5E9" w:sz="4"/>
              <w:left w:val="single" w:color="E8F5E9" w:sz="4"/>
              <w:bottom w:val="single" w:color="E8F5E9" w:sz="4"/>
              <w:right w:val="single" w:color="E8F5E9" w:sz="4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6B3A"/>
                <w:sz w:val="20"/>
                <w:szCs w:val="20"/>
              </w:rPr>
              <w:t xml:space="preserve">4,370</w:t>
            </w:r>
          </w:p>
        </w:tc>
      </w:tr>
      <w:tr>
        <w:tc>
          <w:tcPr>
            <w:tcW w:type="dxa" w:w="2800"/>
            <w:tcBorders>
              <w:top w:val="single" w:color="E8F5E9" w:sz="4"/>
              <w:left w:val="single" w:color="E8F5E9" w:sz="4"/>
              <w:bottom w:val="single" w:color="E8F5E9" w:sz="4"/>
              <w:right w:val="single" w:color="E8F5E9" w:sz="4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Received in STN</w:t>
            </w:r>
          </w:p>
        </w:tc>
        <w:tc>
          <w:tcPr>
            <w:tcW w:type="dxa" w:w="1820"/>
            <w:tcBorders>
              <w:top w:val="single" w:color="E8F5E9" w:sz="4"/>
              <w:left w:val="single" w:color="E8F5E9" w:sz="4"/>
              <w:bottom w:val="single" w:color="E8F5E9" w:sz="4"/>
              <w:right w:val="single" w:color="E8F5E9" w:sz="4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6B3A"/>
                <w:sz w:val="20"/>
                <w:szCs w:val="20"/>
              </w:rPr>
              <w:t xml:space="preserve">130</w:t>
            </w:r>
          </w:p>
        </w:tc>
        <w:tc>
          <w:tcPr>
            <w:tcW w:type="dxa" w:w="1820"/>
            <w:tcBorders>
              <w:top w:val="single" w:color="E8F5E9" w:sz="4"/>
              <w:left w:val="single" w:color="E8F5E9" w:sz="4"/>
              <w:bottom w:val="single" w:color="E8F5E9" w:sz="4"/>
              <w:right w:val="single" w:color="E8F5E9" w:sz="4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6B3A"/>
                <w:sz w:val="20"/>
                <w:szCs w:val="20"/>
              </w:rPr>
              <w:t xml:space="preserve">0</w:t>
            </w:r>
          </w:p>
        </w:tc>
        <w:tc>
          <w:tcPr>
            <w:tcW w:type="dxa" w:w="1820"/>
            <w:tcBorders>
              <w:top w:val="single" w:color="E8F5E9" w:sz="4"/>
              <w:left w:val="single" w:color="E8F5E9" w:sz="4"/>
              <w:bottom w:val="single" w:color="E8F5E9" w:sz="4"/>
              <w:right w:val="single" w:color="E8F5E9" w:sz="4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6B3A"/>
                <w:sz w:val="20"/>
                <w:szCs w:val="20"/>
              </w:rPr>
              <w:t xml:space="preserve">130</w:t>
            </w:r>
          </w:p>
        </w:tc>
      </w:tr>
      <w:tr>
        <w:tc>
          <w:tcPr>
            <w:tcW w:type="dxa" w:w="2800"/>
            <w:tcBorders>
              <w:top w:val="single" w:color="E8F5E9" w:sz="4"/>
              <w:left w:val="single" w:color="E8F5E9" w:sz="4"/>
              <w:bottom w:val="single" w:color="E8F5E9" w:sz="4"/>
              <w:right w:val="single" w:color="E8F5E9" w:sz="4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Stock Received in RMA</w:t>
            </w:r>
          </w:p>
        </w:tc>
        <w:tc>
          <w:tcPr>
            <w:tcW w:type="dxa" w:w="1820"/>
            <w:tcBorders>
              <w:top w:val="single" w:color="E8F5E9" w:sz="4"/>
              <w:left w:val="single" w:color="E8F5E9" w:sz="4"/>
              <w:bottom w:val="single" w:color="E8F5E9" w:sz="4"/>
              <w:right w:val="single" w:color="E8F5E9" w:sz="4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6B3A"/>
                <w:sz w:val="20"/>
                <w:szCs w:val="20"/>
              </w:rPr>
              <w:t xml:space="preserve">1,576</w:t>
            </w:r>
          </w:p>
        </w:tc>
        <w:tc>
          <w:tcPr>
            <w:tcW w:type="dxa" w:w="1820"/>
            <w:tcBorders>
              <w:top w:val="single" w:color="E8F5E9" w:sz="4"/>
              <w:left w:val="single" w:color="E8F5E9" w:sz="4"/>
              <w:bottom w:val="single" w:color="E8F5E9" w:sz="4"/>
              <w:right w:val="single" w:color="E8F5E9" w:sz="4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6B3A"/>
                <w:sz w:val="20"/>
                <w:szCs w:val="20"/>
              </w:rPr>
              <w:t xml:space="preserve">0</w:t>
            </w:r>
          </w:p>
        </w:tc>
        <w:tc>
          <w:tcPr>
            <w:tcW w:type="dxa" w:w="1820"/>
            <w:tcBorders>
              <w:top w:val="single" w:color="E8F5E9" w:sz="4"/>
              <w:left w:val="single" w:color="E8F5E9" w:sz="4"/>
              <w:bottom w:val="single" w:color="E8F5E9" w:sz="4"/>
              <w:right w:val="single" w:color="E8F5E9" w:sz="4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6B3A"/>
                <w:sz w:val="20"/>
                <w:szCs w:val="20"/>
              </w:rPr>
              <w:t xml:space="preserve">1,576</w:t>
            </w:r>
          </w:p>
        </w:tc>
      </w:tr>
      <w:tr>
        <w:tc>
          <w:tcPr>
            <w:tcW w:type="dxa" w:w="2800"/>
            <w:tcBorders>
              <w:top w:val="single" w:color="E8F5E9" w:sz="4"/>
              <w:left w:val="single" w:color="E8F5E9" w:sz="4"/>
              <w:bottom w:val="single" w:color="E8F5E9" w:sz="4"/>
              <w:right w:val="single" w:color="E8F5E9" w:sz="4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6B3A"/>
                <w:sz w:val="20"/>
                <w:szCs w:val="20"/>
              </w:rPr>
              <w:t xml:space="preserve">TOTAL INWARD</w:t>
            </w:r>
          </w:p>
        </w:tc>
        <w:tc>
          <w:tcPr>
            <w:tcW w:type="dxa" w:w="1820"/>
            <w:tcBorders>
              <w:top w:val="single" w:color="E8F5E9" w:sz="4"/>
              <w:left w:val="single" w:color="E8F5E9" w:sz="4"/>
              <w:bottom w:val="single" w:color="E8F5E9" w:sz="4"/>
              <w:right w:val="single" w:color="E8F5E9" w:sz="4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6B3A"/>
                <w:sz w:val="20"/>
                <w:szCs w:val="20"/>
              </w:rPr>
              <w:t xml:space="preserve">10,916</w:t>
            </w:r>
          </w:p>
        </w:tc>
        <w:tc>
          <w:tcPr>
            <w:tcW w:type="dxa" w:w="1820"/>
            <w:tcBorders>
              <w:top w:val="single" w:color="E8F5E9" w:sz="4"/>
              <w:left w:val="single" w:color="E8F5E9" w:sz="4"/>
              <w:bottom w:val="single" w:color="E8F5E9" w:sz="4"/>
              <w:right w:val="single" w:color="E8F5E9" w:sz="4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6B3A"/>
                <w:sz w:val="20"/>
                <w:szCs w:val="20"/>
              </w:rPr>
              <w:t xml:space="preserve">660</w:t>
            </w:r>
          </w:p>
        </w:tc>
        <w:tc>
          <w:tcPr>
            <w:tcW w:type="dxa" w:w="1820"/>
            <w:tcBorders>
              <w:top w:val="single" w:color="E8F5E9" w:sz="4"/>
              <w:left w:val="single" w:color="E8F5E9" w:sz="4"/>
              <w:bottom w:val="single" w:color="E8F5E9" w:sz="4"/>
              <w:right w:val="single" w:color="E8F5E9" w:sz="4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6B3A"/>
                <w:sz w:val="20"/>
                <w:szCs w:val="20"/>
              </w:rPr>
              <w:t xml:space="preserve">11,576</w:t>
            </w:r>
          </w:p>
        </w:tc>
      </w:tr>
      <w:tr>
        <w:tc>
          <w:tcPr>
            <w:tcW w:type="dxa" w:w="2800"/>
            <w:tcBorders>
              <w:top w:val="single" w:color="FFEBEE" w:sz="4"/>
              <w:left w:val="single" w:color="FFEBEE" w:sz="4"/>
              <w:bottom w:val="single" w:color="FFEBEE" w:sz="4"/>
              <w:right w:val="single" w:color="FFEBEE" w:sz="4"/>
            </w:tcBorders>
            <w:shd w:fill="FFEB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Dispatch to Partner</w:t>
            </w:r>
          </w:p>
        </w:tc>
        <w:tc>
          <w:tcPr>
            <w:tcW w:type="dxa" w:w="1820"/>
            <w:tcBorders>
              <w:top w:val="single" w:color="FFEBEE" w:sz="4"/>
              <w:left w:val="single" w:color="FFEBEE" w:sz="4"/>
              <w:bottom w:val="single" w:color="FFEBEE" w:sz="4"/>
              <w:right w:val="single" w:color="FFEBEE" w:sz="4"/>
            </w:tcBorders>
            <w:shd w:fill="FFEB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71C1C"/>
                <w:sz w:val="20"/>
                <w:szCs w:val="20"/>
              </w:rPr>
              <w:t xml:space="preserve">0</w:t>
            </w:r>
          </w:p>
        </w:tc>
        <w:tc>
          <w:tcPr>
            <w:tcW w:type="dxa" w:w="1820"/>
            <w:tcBorders>
              <w:top w:val="single" w:color="FFEBEE" w:sz="4"/>
              <w:left w:val="single" w:color="FFEBEE" w:sz="4"/>
              <w:bottom w:val="single" w:color="FFEBEE" w:sz="4"/>
              <w:right w:val="single" w:color="FFEBEE" w:sz="4"/>
            </w:tcBorders>
            <w:shd w:fill="FFEB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71C1C"/>
                <w:sz w:val="20"/>
                <w:szCs w:val="20"/>
              </w:rPr>
              <w:t xml:space="preserve">0</w:t>
            </w:r>
          </w:p>
        </w:tc>
        <w:tc>
          <w:tcPr>
            <w:tcW w:type="dxa" w:w="1820"/>
            <w:tcBorders>
              <w:top w:val="single" w:color="FFEBEE" w:sz="4"/>
              <w:left w:val="single" w:color="FFEBEE" w:sz="4"/>
              <w:bottom w:val="single" w:color="FFEBEE" w:sz="4"/>
              <w:right w:val="single" w:color="FFEBEE" w:sz="4"/>
            </w:tcBorders>
            <w:shd w:fill="FFEB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71C1C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2800"/>
            <w:tcBorders>
              <w:top w:val="single" w:color="FFEBEE" w:sz="4"/>
              <w:left w:val="single" w:color="FFEBEE" w:sz="4"/>
              <w:bottom w:val="single" w:color="FFEBEE" w:sz="4"/>
              <w:right w:val="single" w:color="FFEBEE" w:sz="4"/>
            </w:tcBorders>
            <w:shd w:fill="FFEB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Return to Vendor (RTV)</w:t>
            </w:r>
          </w:p>
        </w:tc>
        <w:tc>
          <w:tcPr>
            <w:tcW w:type="dxa" w:w="1820"/>
            <w:tcBorders>
              <w:top w:val="single" w:color="FFEBEE" w:sz="4"/>
              <w:left w:val="single" w:color="FFEBEE" w:sz="4"/>
              <w:bottom w:val="single" w:color="FFEBEE" w:sz="4"/>
              <w:right w:val="single" w:color="FFEBEE" w:sz="4"/>
            </w:tcBorders>
            <w:shd w:fill="FFEB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71C1C"/>
                <w:sz w:val="20"/>
                <w:szCs w:val="20"/>
              </w:rPr>
              <w:t xml:space="preserve">0</w:t>
            </w:r>
          </w:p>
        </w:tc>
        <w:tc>
          <w:tcPr>
            <w:tcW w:type="dxa" w:w="1820"/>
            <w:tcBorders>
              <w:top w:val="single" w:color="FFEBEE" w:sz="4"/>
              <w:left w:val="single" w:color="FFEBEE" w:sz="4"/>
              <w:bottom w:val="single" w:color="FFEBEE" w:sz="4"/>
              <w:right w:val="single" w:color="FFEBEE" w:sz="4"/>
            </w:tcBorders>
            <w:shd w:fill="FFEB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71C1C"/>
                <w:sz w:val="20"/>
                <w:szCs w:val="20"/>
              </w:rPr>
              <w:t xml:space="preserve">0</w:t>
            </w:r>
          </w:p>
        </w:tc>
        <w:tc>
          <w:tcPr>
            <w:tcW w:type="dxa" w:w="1820"/>
            <w:tcBorders>
              <w:top w:val="single" w:color="FFEBEE" w:sz="4"/>
              <w:left w:val="single" w:color="FFEBEE" w:sz="4"/>
              <w:bottom w:val="single" w:color="FFEBEE" w:sz="4"/>
              <w:right w:val="single" w:color="FFEBEE" w:sz="4"/>
            </w:tcBorders>
            <w:shd w:fill="FFEB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71C1C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2800"/>
            <w:tcBorders>
              <w:top w:val="single" w:color="FFEBEE" w:sz="4"/>
              <w:left w:val="single" w:color="FFEBEE" w:sz="4"/>
              <w:bottom w:val="single" w:color="FFEBEE" w:sz="4"/>
              <w:right w:val="single" w:color="FFEBEE" w:sz="4"/>
            </w:tcBorders>
            <w:shd w:fill="FFEB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STN Out</w:t>
            </w:r>
          </w:p>
        </w:tc>
        <w:tc>
          <w:tcPr>
            <w:tcW w:type="dxa" w:w="1820"/>
            <w:tcBorders>
              <w:top w:val="single" w:color="FFEBEE" w:sz="4"/>
              <w:left w:val="single" w:color="FFEBEE" w:sz="4"/>
              <w:bottom w:val="single" w:color="FFEBEE" w:sz="4"/>
              <w:right w:val="single" w:color="FFEBEE" w:sz="4"/>
            </w:tcBorders>
            <w:shd w:fill="FFEB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71C1C"/>
                <w:sz w:val="20"/>
                <w:szCs w:val="20"/>
              </w:rPr>
              <w:t xml:space="preserve">0</w:t>
            </w:r>
          </w:p>
        </w:tc>
        <w:tc>
          <w:tcPr>
            <w:tcW w:type="dxa" w:w="1820"/>
            <w:tcBorders>
              <w:top w:val="single" w:color="FFEBEE" w:sz="4"/>
              <w:left w:val="single" w:color="FFEBEE" w:sz="4"/>
              <w:bottom w:val="single" w:color="FFEBEE" w:sz="4"/>
              <w:right w:val="single" w:color="FFEBEE" w:sz="4"/>
            </w:tcBorders>
            <w:shd w:fill="FFEB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71C1C"/>
                <w:sz w:val="20"/>
                <w:szCs w:val="20"/>
              </w:rPr>
              <w:t xml:space="preserve">0</w:t>
            </w:r>
          </w:p>
        </w:tc>
        <w:tc>
          <w:tcPr>
            <w:tcW w:type="dxa" w:w="1820"/>
            <w:tcBorders>
              <w:top w:val="single" w:color="FFEBEE" w:sz="4"/>
              <w:left w:val="single" w:color="FFEBEE" w:sz="4"/>
              <w:bottom w:val="single" w:color="FFEBEE" w:sz="4"/>
              <w:right w:val="single" w:color="FFEBEE" w:sz="4"/>
            </w:tcBorders>
            <w:shd w:fill="FFEB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71C1C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2800"/>
            <w:tcBorders>
              <w:top w:val="single" w:color="FFEBEE" w:sz="4"/>
              <w:left w:val="single" w:color="FFEBEE" w:sz="4"/>
              <w:bottom w:val="single" w:color="FFEBEE" w:sz="4"/>
              <w:right w:val="single" w:color="FFEBEE" w:sz="4"/>
            </w:tcBorders>
            <w:shd w:fill="FFEB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71C1C"/>
                <w:sz w:val="20"/>
                <w:szCs w:val="20"/>
              </w:rPr>
              <w:t xml:space="preserve">TOTAL OUTWARD</w:t>
            </w:r>
          </w:p>
        </w:tc>
        <w:tc>
          <w:tcPr>
            <w:tcW w:type="dxa" w:w="1820"/>
            <w:tcBorders>
              <w:top w:val="single" w:color="FFEBEE" w:sz="4"/>
              <w:left w:val="single" w:color="FFEBEE" w:sz="4"/>
              <w:bottom w:val="single" w:color="FFEBEE" w:sz="4"/>
              <w:right w:val="single" w:color="FFEBEE" w:sz="4"/>
            </w:tcBorders>
            <w:shd w:fill="FFEB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71C1C"/>
                <w:sz w:val="20"/>
                <w:szCs w:val="20"/>
              </w:rPr>
              <w:t xml:space="preserve">0</w:t>
            </w:r>
          </w:p>
        </w:tc>
        <w:tc>
          <w:tcPr>
            <w:tcW w:type="dxa" w:w="1820"/>
            <w:tcBorders>
              <w:top w:val="single" w:color="FFEBEE" w:sz="4"/>
              <w:left w:val="single" w:color="FFEBEE" w:sz="4"/>
              <w:bottom w:val="single" w:color="FFEBEE" w:sz="4"/>
              <w:right w:val="single" w:color="FFEBEE" w:sz="4"/>
            </w:tcBorders>
            <w:shd w:fill="FFEB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71C1C"/>
                <w:sz w:val="20"/>
                <w:szCs w:val="20"/>
              </w:rPr>
              <w:t xml:space="preserve">0</w:t>
            </w:r>
          </w:p>
        </w:tc>
        <w:tc>
          <w:tcPr>
            <w:tcW w:type="dxa" w:w="1820"/>
            <w:tcBorders>
              <w:top w:val="single" w:color="FFEBEE" w:sz="4"/>
              <w:left w:val="single" w:color="FFEBEE" w:sz="4"/>
              <w:bottom w:val="single" w:color="FFEBEE" w:sz="4"/>
              <w:right w:val="single" w:color="FFEBEE" w:sz="4"/>
            </w:tcBorders>
            <w:shd w:fill="FFEB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71C1C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2800"/>
            <w:tcBorders>
              <w:top w:val="single" w:color="1B2A3B" w:sz="4"/>
              <w:left w:val="single" w:color="1B2A3B" w:sz="4"/>
              <w:bottom w:val="single" w:color="1B2A3B" w:sz="4"/>
              <w:right w:val="single" w:color="1B2A3B" w:sz="4"/>
            </w:tcBorders>
            <w:shd w:fill="1B2A3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Closing Stock</w:t>
            </w:r>
          </w:p>
        </w:tc>
        <w:tc>
          <w:tcPr>
            <w:tcW w:type="dxa" w:w="1820"/>
            <w:tcBorders>
              <w:top w:val="single" w:color="1B2A3B" w:sz="4"/>
              <w:left w:val="single" w:color="1B2A3B" w:sz="4"/>
              <w:bottom w:val="single" w:color="1B2A3B" w:sz="4"/>
              <w:right w:val="single" w:color="1B2A3B" w:sz="4"/>
            </w:tcBorders>
            <w:shd w:fill="1B2A3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10,916</w:t>
            </w:r>
          </w:p>
        </w:tc>
        <w:tc>
          <w:tcPr>
            <w:tcW w:type="dxa" w:w="1820"/>
            <w:tcBorders>
              <w:top w:val="single" w:color="1B2A3B" w:sz="4"/>
              <w:left w:val="single" w:color="1B2A3B" w:sz="4"/>
              <w:bottom w:val="single" w:color="1B2A3B" w:sz="4"/>
              <w:right w:val="single" w:color="1B2A3B" w:sz="4"/>
            </w:tcBorders>
            <w:shd w:fill="1B2A3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660</w:t>
            </w:r>
          </w:p>
        </w:tc>
        <w:tc>
          <w:tcPr>
            <w:tcW w:type="dxa" w:w="1820"/>
            <w:tcBorders>
              <w:top w:val="single" w:color="1B2A3B" w:sz="4"/>
              <w:left w:val="single" w:color="1B2A3B" w:sz="4"/>
              <w:bottom w:val="single" w:color="1B2A3B" w:sz="4"/>
              <w:right w:val="single" w:color="1B2A3B" w:sz="4"/>
            </w:tcBorders>
            <w:shd w:fill="1B2A3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11,576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546E7A"/>
          <w:sz w:val="20"/>
          <w:szCs w:val="20"/>
        </w:rPr>
        <w:t xml:space="preserve">Note: January 2026 Closing Stock (ONT: 10,916 | Router: 660 | Total: 11,576) becomes the Opening Stock for February 2026 and all subsequent months.</w:t>
      </w:r>
    </w:p>
    <w:p>
      <w:r>
        <w:rPr>
          <w:sz w:val="20"/>
          <w:szCs w:val="20"/>
        </w:rPr>
        <w:t xml:space="preserve"/>
      </w:r>
    </w:p>
    <w:p>
      <w:r>
        <w:br w:type="page"/>
      </w:r>
    </w:p>
    <w:p>
      <w:pPr>
        <w:pBdr>
          <w:bottom w:val="single" w:color="1B2A3B" w:sz="8" w:space="4"/>
        </w:pBdr>
        <w:spacing w:after="120" w:before="280"/>
      </w:pPr>
      <w:r>
        <w:rPr>
          <w:rFonts w:ascii="Arial" w:cs="Arial" w:eastAsia="Arial" w:hAnsi="Arial"/>
          <w:b/>
          <w:bCs/>
          <w:color w:val="1B2A3B"/>
          <w:sz w:val="28"/>
          <w:szCs w:val="28"/>
        </w:rPr>
        <w:t xml:space="preserve">5.  Daily Opening &amp; Closing Stock — Column Structure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Each row in the daily report represents one warehouse + one device type combination per day. The closing stock rolls forward as the next day's opening stock automatically.</w:t>
      </w:r>
    </w:p>
    <w:p>
      <w:r>
        <w:rPr>
          <w:sz w:val="20"/>
          <w:szCs w:val="20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3200"/>
        <w:gridCol w:w="3280"/>
      </w:tblGrid>
      <w:tr>
        <w:tc>
          <w:tcPr>
            <w:tcW w:type="dxa" w:w="2400"/>
            <w:tcBorders>
              <w:top w:val="single" w:color="1B2A3B" w:sz="4"/>
              <w:left w:val="single" w:color="1B2A3B" w:sz="4"/>
              <w:bottom w:val="single" w:color="1B2A3B" w:sz="4"/>
              <w:right w:val="single" w:color="1B2A3B" w:sz="4"/>
            </w:tcBorders>
            <w:shd w:fill="1B2A3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Column Header</w:t>
            </w:r>
          </w:p>
        </w:tc>
        <w:tc>
          <w:tcPr>
            <w:tcW w:type="dxa" w:w="1200"/>
            <w:tcBorders>
              <w:top w:val="single" w:color="1B2A3B" w:sz="4"/>
              <w:left w:val="single" w:color="1B2A3B" w:sz="4"/>
              <w:bottom w:val="single" w:color="1B2A3B" w:sz="4"/>
              <w:right w:val="single" w:color="1B2A3B" w:sz="4"/>
            </w:tcBorders>
            <w:shd w:fill="1B2A3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3200"/>
            <w:tcBorders>
              <w:top w:val="single" w:color="1B2A3B" w:sz="4"/>
              <w:left w:val="single" w:color="1B2A3B" w:sz="4"/>
              <w:bottom w:val="single" w:color="1B2A3B" w:sz="4"/>
              <w:right w:val="single" w:color="1B2A3B" w:sz="4"/>
            </w:tcBorders>
            <w:shd w:fill="1B2A3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Source Table</w:t>
            </w:r>
          </w:p>
        </w:tc>
        <w:tc>
          <w:tcPr>
            <w:tcW w:type="dxa" w:w="3280"/>
            <w:tcBorders>
              <w:top w:val="single" w:color="1B2A3B" w:sz="4"/>
              <w:left w:val="single" w:color="1B2A3B" w:sz="4"/>
              <w:bottom w:val="single" w:color="1B2A3B" w:sz="4"/>
              <w:right w:val="single" w:color="1B2A3B" w:sz="4"/>
            </w:tcBorders>
            <w:shd w:fill="1B2A3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Formula / Logic</w:t>
            </w:r>
          </w:p>
        </w:tc>
      </w:tr>
      <w:tr>
        <w:tc>
          <w:tcPr>
            <w:tcW w:type="dxa" w:w="24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DATE</w:t>
            </w:r>
          </w:p>
        </w:tc>
        <w:tc>
          <w:tcPr>
            <w:tcW w:type="dxa" w:w="12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Dimension</w:t>
            </w:r>
          </w:p>
        </w:tc>
        <w:tc>
          <w:tcPr>
            <w:tcW w:type="dxa" w:w="32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All tables</w:t>
            </w:r>
          </w:p>
        </w:tc>
        <w:tc>
          <w:tcPr>
            <w:tcW w:type="dxa" w:w="328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Transaction date</w:t>
            </w:r>
          </w:p>
        </w:tc>
      </w:tr>
      <w:tr>
        <w:tc>
          <w:tcPr>
            <w:tcW w:type="dxa" w:w="24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WAREHOUSE</w:t>
            </w:r>
          </w:p>
        </w:tc>
        <w:tc>
          <w:tcPr>
            <w:tcW w:type="dxa" w:w="12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Dimension</w:t>
            </w:r>
          </w:p>
        </w:tc>
        <w:tc>
          <w:tcPr>
            <w:tcW w:type="dxa" w:w="32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LOCATIONCODE column</w:t>
            </w:r>
          </w:p>
        </w:tc>
        <w:tc>
          <w:tcPr>
            <w:tcW w:type="dxa" w:w="328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Saket / Mumbai</w:t>
            </w:r>
          </w:p>
        </w:tc>
      </w:tr>
      <w:tr>
        <w:tc>
          <w:tcPr>
            <w:tcW w:type="dxa" w:w="24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DEVICE_TYPE</w:t>
            </w:r>
          </w:p>
        </w:tc>
        <w:tc>
          <w:tcPr>
            <w:tcW w:type="dxa" w:w="12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Dimension</w:t>
            </w:r>
          </w:p>
        </w:tc>
        <w:tc>
          <w:tcPr>
            <w:tcW w:type="dxa" w:w="32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DESCRIPTION filter</w:t>
            </w:r>
          </w:p>
        </w:tc>
        <w:tc>
          <w:tcPr>
            <w:tcW w:type="dxa" w:w="328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ONT / Router</w:t>
            </w:r>
          </w:p>
        </w:tc>
      </w:tr>
      <w:tr>
        <w:tc>
          <w:tcPr>
            <w:tcW w:type="dxa" w:w="24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OPENING_STOCK</w:t>
            </w:r>
          </w:p>
        </w:tc>
        <w:tc>
          <w:tcPr>
            <w:tcW w:type="dxa" w:w="12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KPI</w:t>
            </w:r>
          </w:p>
        </w:tc>
        <w:tc>
          <w:tcPr>
            <w:tcW w:type="dxa" w:w="32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Calculated</w:t>
            </w:r>
          </w:p>
        </w:tc>
        <w:tc>
          <w:tcPr>
            <w:tcW w:type="dxa" w:w="328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Prior day's Closing Stock</w:t>
            </w:r>
          </w:p>
        </w:tc>
      </w:tr>
      <w:tr>
        <w:tc>
          <w:tcPr>
            <w:tcW w:type="dxa" w:w="24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FRESH_INWARD (+)</w:t>
            </w:r>
          </w:p>
        </w:tc>
        <w:tc>
          <w:tcPr>
            <w:tcW w:type="dxa" w:w="12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Inbound</w:t>
            </w:r>
          </w:p>
        </w:tc>
        <w:tc>
          <w:tcPr>
            <w:tcW w:type="dxa" w:w="32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PYROPS_INBOUND_DATA__INWARD</w:t>
            </w:r>
          </w:p>
        </w:tc>
        <w:tc>
          <w:tcPr>
            <w:tcW w:type="dxa" w:w="328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SUM(TOTALQUANTITY)</w:t>
            </w:r>
          </w:p>
        </w:tc>
      </w:tr>
      <w:tr>
        <w:tc>
          <w:tcPr>
            <w:tcW w:type="dxa" w:w="24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SALES_RETURN (+)</w:t>
            </w:r>
          </w:p>
        </w:tc>
        <w:tc>
          <w:tcPr>
            <w:tcW w:type="dxa" w:w="12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Inbound</w:t>
            </w:r>
          </w:p>
        </w:tc>
        <w:tc>
          <w:tcPr>
            <w:tcW w:type="dxa" w:w="32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PYROPS_INBOUND_DATA__SALES_RETURN</w:t>
            </w:r>
          </w:p>
        </w:tc>
        <w:tc>
          <w:tcPr>
            <w:tcW w:type="dxa" w:w="328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SUM(TOTALQUANTITY)</w:t>
            </w:r>
          </w:p>
        </w:tc>
      </w:tr>
      <w:tr>
        <w:tc>
          <w:tcPr>
            <w:tcW w:type="dxa" w:w="24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STN_RECEIPT (+)</w:t>
            </w:r>
          </w:p>
        </w:tc>
        <w:tc>
          <w:tcPr>
            <w:tcW w:type="dxa" w:w="12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Inbound</w:t>
            </w:r>
          </w:p>
        </w:tc>
        <w:tc>
          <w:tcPr>
            <w:tcW w:type="dxa" w:w="32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PYROPS_INBOUND_DATA__TRANSFER_RECEIPT</w:t>
            </w:r>
          </w:p>
        </w:tc>
        <w:tc>
          <w:tcPr>
            <w:tcW w:type="dxa" w:w="328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SUM(TOTALQUANTITY)</w:t>
            </w:r>
          </w:p>
        </w:tc>
      </w:tr>
      <w:tr>
        <w:tc>
          <w:tcPr>
            <w:tcW w:type="dxa" w:w="24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RMA_RECEIPT (+)</w:t>
            </w:r>
          </w:p>
        </w:tc>
        <w:tc>
          <w:tcPr>
            <w:tcW w:type="dxa" w:w="12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Inbound</w:t>
            </w:r>
          </w:p>
        </w:tc>
        <w:tc>
          <w:tcPr>
            <w:tcW w:type="dxa" w:w="32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PYROPS_INBOUND_DATA__SALES_RETURN</w:t>
            </w:r>
          </w:p>
        </w:tc>
        <w:tc>
          <w:tcPr>
            <w:tcW w:type="dxa" w:w="328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RMA-tagged rows only</w:t>
            </w:r>
          </w:p>
        </w:tc>
      </w:tr>
      <w:tr>
        <w:tc>
          <w:tcPr>
            <w:tcW w:type="dxa" w:w="24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TOTAL_INWARD</w:t>
            </w:r>
          </w:p>
        </w:tc>
        <w:tc>
          <w:tcPr>
            <w:tcW w:type="dxa" w:w="12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Subtotal</w:t>
            </w:r>
          </w:p>
        </w:tc>
        <w:tc>
          <w:tcPr>
            <w:tcW w:type="dxa" w:w="32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Calculated</w:t>
            </w:r>
          </w:p>
        </w:tc>
        <w:tc>
          <w:tcPr>
            <w:tcW w:type="dxa" w:w="328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Sum of all (+) columns</w:t>
            </w:r>
          </w:p>
        </w:tc>
      </w:tr>
      <w:tr>
        <w:tc>
          <w:tcPr>
            <w:tcW w:type="dxa" w:w="24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PARTNER_DISPATCH (-)</w:t>
            </w:r>
          </w:p>
        </w:tc>
        <w:tc>
          <w:tcPr>
            <w:tcW w:type="dxa" w:w="12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Outbound</w:t>
            </w:r>
          </w:p>
        </w:tc>
        <w:tc>
          <w:tcPr>
            <w:tcW w:type="dxa" w:w="32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PYROPS_SALE_DETAIL</w:t>
            </w:r>
          </w:p>
        </w:tc>
        <w:tc>
          <w:tcPr>
            <w:tcW w:type="dxa" w:w="328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SUM(QUANTITY)</w:t>
            </w:r>
          </w:p>
        </w:tc>
      </w:tr>
      <w:tr>
        <w:tc>
          <w:tcPr>
            <w:tcW w:type="dxa" w:w="24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STN_DISPATCH (-)</w:t>
            </w:r>
          </w:p>
        </w:tc>
        <w:tc>
          <w:tcPr>
            <w:tcW w:type="dxa" w:w="12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Outbound</w:t>
            </w:r>
          </w:p>
        </w:tc>
        <w:tc>
          <w:tcPr>
            <w:tcW w:type="dxa" w:w="32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PYROPS_SALE_DETAIL__TRANSFER</w:t>
            </w:r>
          </w:p>
        </w:tc>
        <w:tc>
          <w:tcPr>
            <w:tcW w:type="dxa" w:w="328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SUM(QUANTITY)</w:t>
            </w:r>
          </w:p>
        </w:tc>
      </w:tr>
      <w:tr>
        <w:tc>
          <w:tcPr>
            <w:tcW w:type="dxa" w:w="24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RTV_VENDOR (-)</w:t>
            </w:r>
          </w:p>
        </w:tc>
        <w:tc>
          <w:tcPr>
            <w:tcW w:type="dxa" w:w="12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Outbound</w:t>
            </w:r>
          </w:p>
        </w:tc>
        <w:tc>
          <w:tcPr>
            <w:tcW w:type="dxa" w:w="32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PYROPS_SALE_DETAIL__PURCHASE_RETURN</w:t>
            </w:r>
          </w:p>
        </w:tc>
        <w:tc>
          <w:tcPr>
            <w:tcW w:type="dxa" w:w="328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SUM(QUANTITY)</w:t>
            </w:r>
          </w:p>
        </w:tc>
      </w:tr>
      <w:tr>
        <w:tc>
          <w:tcPr>
            <w:tcW w:type="dxa" w:w="24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TOTAL_OUTWARD</w:t>
            </w:r>
          </w:p>
        </w:tc>
        <w:tc>
          <w:tcPr>
            <w:tcW w:type="dxa" w:w="12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Subtotal</w:t>
            </w:r>
          </w:p>
        </w:tc>
        <w:tc>
          <w:tcPr>
            <w:tcW w:type="dxa" w:w="32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Calculated</w:t>
            </w:r>
          </w:p>
        </w:tc>
        <w:tc>
          <w:tcPr>
            <w:tcW w:type="dxa" w:w="328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Sum of all (-) columns</w:t>
            </w:r>
          </w:p>
        </w:tc>
      </w:tr>
      <w:tr>
        <w:tc>
          <w:tcPr>
            <w:tcW w:type="dxa" w:w="24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CLOSING_STOCK</w:t>
            </w:r>
          </w:p>
        </w:tc>
        <w:tc>
          <w:tcPr>
            <w:tcW w:type="dxa" w:w="12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KPI</w:t>
            </w:r>
          </w:p>
        </w:tc>
        <w:tc>
          <w:tcPr>
            <w:tcW w:type="dxa" w:w="32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Calculated</w:t>
            </w:r>
          </w:p>
        </w:tc>
        <w:tc>
          <w:tcPr>
            <w:tcW w:type="dxa" w:w="328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Opening + Inward - Outward</w:t>
            </w:r>
          </w:p>
        </w:tc>
      </w:tr>
      <w:tr>
        <w:tc>
          <w:tcPr>
            <w:tcW w:type="dxa" w:w="24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NET_MOVEMENT</w:t>
            </w:r>
          </w:p>
        </w:tc>
        <w:tc>
          <w:tcPr>
            <w:tcW w:type="dxa" w:w="12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KPI</w:t>
            </w:r>
          </w:p>
        </w:tc>
        <w:tc>
          <w:tcPr>
            <w:tcW w:type="dxa" w:w="32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Calculated</w:t>
            </w:r>
          </w:p>
        </w:tc>
        <w:tc>
          <w:tcPr>
            <w:tcW w:type="dxa" w:w="328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Total Inward - Total Outward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r>
        <w:br w:type="page"/>
      </w:r>
    </w:p>
    <w:p>
      <w:pPr>
        <w:pBdr>
          <w:bottom w:val="single" w:color="1B2A3B" w:sz="8" w:space="4"/>
        </w:pBdr>
        <w:spacing w:after="120" w:before="280"/>
      </w:pPr>
      <w:r>
        <w:rPr>
          <w:rFonts w:ascii="Arial" w:cs="Arial" w:eastAsia="Arial" w:hAnsi="Arial"/>
          <w:b/>
          <w:bCs/>
          <w:color w:val="1B2A3B"/>
          <w:sz w:val="28"/>
          <w:szCs w:val="28"/>
        </w:rPr>
        <w:t xml:space="preserve">6.  KPI Framework — ONT &amp; Router Only</w:t>
      </w:r>
    </w:p>
    <w:p>
      <w:r>
        <w:rPr>
          <w:sz w:val="20"/>
          <w:szCs w:val="20"/>
        </w:rPr>
        <w:t xml:space="preserve"/>
      </w:r>
    </w:p>
    <w:p>
      <w:pPr>
        <w:spacing w:after="80" w:before="120"/>
      </w:pPr>
      <w:r>
        <w:rPr>
          <w:rFonts w:ascii="Arial" w:cs="Arial" w:eastAsia="Arial" w:hAnsi="Arial"/>
          <w:b/>
          <w:bCs/>
          <w:color w:val="1B6B3A"/>
          <w:sz w:val="22"/>
          <w:szCs w:val="22"/>
        </w:rPr>
        <w:t xml:space="preserve">A.  Inbound / Procurement KPIs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800"/>
        <w:gridCol w:w="3480"/>
      </w:tblGrid>
      <w:tr>
        <w:tc>
          <w:tcPr>
            <w:tcW w:type="dxa" w:w="2800"/>
            <w:tcBorders>
              <w:top w:val="single" w:color="1B2A3B" w:sz="4"/>
              <w:left w:val="single" w:color="1B2A3B" w:sz="4"/>
              <w:bottom w:val="single" w:color="1B2A3B" w:sz="4"/>
              <w:right w:val="single" w:color="1B2A3B" w:sz="4"/>
            </w:tcBorders>
            <w:shd w:fill="1B2A3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KPI</w:t>
            </w:r>
          </w:p>
        </w:tc>
        <w:tc>
          <w:tcPr>
            <w:tcW w:type="dxa" w:w="3800"/>
            <w:tcBorders>
              <w:top w:val="single" w:color="1B2A3B" w:sz="4"/>
              <w:left w:val="single" w:color="1B2A3B" w:sz="4"/>
              <w:bottom w:val="single" w:color="1B2A3B" w:sz="4"/>
              <w:right w:val="single" w:color="1B2A3B" w:sz="4"/>
            </w:tcBorders>
            <w:shd w:fill="1B2A3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Formula</w:t>
            </w:r>
          </w:p>
        </w:tc>
        <w:tc>
          <w:tcPr>
            <w:tcW w:type="dxa" w:w="3480"/>
            <w:tcBorders>
              <w:top w:val="single" w:color="1B2A3B" w:sz="4"/>
              <w:left w:val="single" w:color="1B2A3B" w:sz="4"/>
              <w:bottom w:val="single" w:color="1B2A3B" w:sz="4"/>
              <w:right w:val="single" w:color="1B2A3B" w:sz="4"/>
            </w:tcBorders>
            <w:shd w:fill="1B2A3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Target / Insight</w:t>
            </w:r>
          </w:p>
        </w:tc>
      </w:tr>
      <w:tr>
        <w:tc>
          <w:tcPr>
            <w:tcW w:type="dxa" w:w="2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PO Fulfillment Rate</w:t>
            </w:r>
          </w:p>
        </w:tc>
        <w:tc>
          <w:tcPr>
            <w:tcW w:type="dxa" w:w="3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GRN Qty / PO Qty × 100</w:t>
            </w:r>
          </w:p>
        </w:tc>
        <w:tc>
          <w:tcPr>
            <w:tcW w:type="dxa" w:w="348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&gt; 95% — flag if vendor short-ships</w:t>
            </w:r>
          </w:p>
        </w:tc>
      </w:tr>
      <w:tr>
        <w:tc>
          <w:tcPr>
            <w:tcW w:type="dxa" w:w="2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Vendor Rejection Rate</w:t>
            </w:r>
          </w:p>
        </w:tc>
        <w:tc>
          <w:tcPr>
            <w:tcW w:type="dxa" w:w="3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Reject Qty / Total GRN Qty × 100</w:t>
            </w:r>
          </w:p>
        </w:tc>
        <w:tc>
          <w:tcPr>
            <w:tcW w:type="dxa" w:w="348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&lt; 1% — monitor per vendor</w:t>
            </w:r>
          </w:p>
        </w:tc>
      </w:tr>
      <w:tr>
        <w:tc>
          <w:tcPr>
            <w:tcW w:type="dxa" w:w="2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GRN Pending Closure</w:t>
            </w:r>
          </w:p>
        </w:tc>
        <w:tc>
          <w:tcPr>
            <w:tcW w:type="dxa" w:w="3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COUNT of GRNs in Released status</w:t>
            </w:r>
          </w:p>
        </w:tc>
        <w:tc>
          <w:tcPr>
            <w:tcW w:type="dxa" w:w="348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0 — all GRNs should close within 3 days</w:t>
            </w:r>
          </w:p>
        </w:tc>
      </w:tr>
      <w:tr>
        <w:tc>
          <w:tcPr>
            <w:tcW w:type="dxa" w:w="2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GRN Aging (Released)</w:t>
            </w:r>
          </w:p>
        </w:tc>
        <w:tc>
          <w:tcPr>
            <w:tcW w:type="dxa" w:w="3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Days since GRN date for Released GRNs</w:t>
            </w:r>
          </w:p>
        </w:tc>
        <w:tc>
          <w:tcPr>
            <w:tcW w:type="dxa" w:w="348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&gt; 3 days = escalate</w:t>
            </w:r>
          </w:p>
        </w:tc>
      </w:tr>
      <w:tr>
        <w:tc>
          <w:tcPr>
            <w:tcW w:type="dxa" w:w="2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Month-wise Inward Volume</w:t>
            </w:r>
          </w:p>
        </w:tc>
        <w:tc>
          <w:tcPr>
            <w:tcW w:type="dxa" w:w="3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SUM(TOTALQUANTITY) per month</w:t>
            </w:r>
          </w:p>
        </w:tc>
        <w:tc>
          <w:tcPr>
            <w:tcW w:type="dxa" w:w="348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Track vs procurement plan</w:t>
            </w:r>
          </w:p>
        </w:tc>
      </w:tr>
      <w:tr>
        <w:tc>
          <w:tcPr>
            <w:tcW w:type="dxa" w:w="2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Vendor-wise Inward Mix</w:t>
            </w:r>
          </w:p>
        </w:tc>
        <w:tc>
          <w:tcPr>
            <w:tcW w:type="dxa" w:w="3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% units from each vendor</w:t>
            </w:r>
          </w:p>
        </w:tc>
        <w:tc>
          <w:tcPr>
            <w:tcW w:type="dxa" w:w="348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Avoid &gt;70% dependency on one vendor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spacing w:after="80" w:before="120"/>
      </w:pPr>
      <w:r>
        <w:rPr>
          <w:rFonts w:ascii="Arial" w:cs="Arial" w:eastAsia="Arial" w:hAnsi="Arial"/>
          <w:b/>
          <w:bCs/>
          <w:color w:val="1565C0"/>
          <w:sz w:val="22"/>
          <w:szCs w:val="22"/>
        </w:rPr>
        <w:t xml:space="preserve">B.  Outbound / Dispatch KPIs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800"/>
        <w:gridCol w:w="3480"/>
      </w:tblGrid>
      <w:tr>
        <w:tc>
          <w:tcPr>
            <w:tcW w:type="dxa" w:w="2800"/>
            <w:tcBorders>
              <w:top w:val="single" w:color="1B2A3B" w:sz="4"/>
              <w:left w:val="single" w:color="1B2A3B" w:sz="4"/>
              <w:bottom w:val="single" w:color="1B2A3B" w:sz="4"/>
              <w:right w:val="single" w:color="1B2A3B" w:sz="4"/>
            </w:tcBorders>
            <w:shd w:fill="1B2A3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KPI</w:t>
            </w:r>
          </w:p>
        </w:tc>
        <w:tc>
          <w:tcPr>
            <w:tcW w:type="dxa" w:w="3800"/>
            <w:tcBorders>
              <w:top w:val="single" w:color="1B2A3B" w:sz="4"/>
              <w:left w:val="single" w:color="1B2A3B" w:sz="4"/>
              <w:bottom w:val="single" w:color="1B2A3B" w:sz="4"/>
              <w:right w:val="single" w:color="1B2A3B" w:sz="4"/>
            </w:tcBorders>
            <w:shd w:fill="1B2A3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Formula</w:t>
            </w:r>
          </w:p>
        </w:tc>
        <w:tc>
          <w:tcPr>
            <w:tcW w:type="dxa" w:w="3480"/>
            <w:tcBorders>
              <w:top w:val="single" w:color="1B2A3B" w:sz="4"/>
              <w:left w:val="single" w:color="1B2A3B" w:sz="4"/>
              <w:bottom w:val="single" w:color="1B2A3B" w:sz="4"/>
              <w:right w:val="single" w:color="1B2A3B" w:sz="4"/>
            </w:tcBorders>
            <w:shd w:fill="1B2A3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Target / Insight</w:t>
            </w:r>
          </w:p>
        </w:tc>
      </w:tr>
      <w:tr>
        <w:tc>
          <w:tcPr>
            <w:tcW w:type="dxa" w:w="2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Monthly Dispatch Volume</w:t>
            </w:r>
          </w:p>
        </w:tc>
        <w:tc>
          <w:tcPr>
            <w:tcW w:type="dxa" w:w="3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COUNT(DISTINCT ORDERNO) per month</w:t>
            </w:r>
          </w:p>
        </w:tc>
        <w:tc>
          <w:tcPr>
            <w:tcW w:type="dxa" w:w="348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Track vs sales target</w:t>
            </w:r>
          </w:p>
        </w:tc>
      </w:tr>
      <w:tr>
        <w:tc>
          <w:tcPr>
            <w:tcW w:type="dxa" w:w="2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Device-wise Dispatch Split</w:t>
            </w:r>
          </w:p>
        </w:tc>
        <w:tc>
          <w:tcPr>
            <w:tcW w:type="dxa" w:w="3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ONT % vs Router % of total dispatched</w:t>
            </w:r>
          </w:p>
        </w:tc>
        <w:tc>
          <w:tcPr>
            <w:tcW w:type="dxa" w:w="348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Understand product mix</w:t>
            </w:r>
          </w:p>
        </w:tc>
      </w:tr>
      <w:tr>
        <w:tc>
          <w:tcPr>
            <w:tcW w:type="dxa" w:w="2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Pincode Coverage</w:t>
            </w:r>
          </w:p>
        </w:tc>
        <w:tc>
          <w:tcPr>
            <w:tcW w:type="dxa" w:w="3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COUNT(DISTINCT SHIPPINGPINCODE)</w:t>
            </w:r>
          </w:p>
        </w:tc>
        <w:tc>
          <w:tcPr>
            <w:tcW w:type="dxa" w:w="348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Geographic expansion metric</w:t>
            </w:r>
          </w:p>
        </w:tc>
      </w:tr>
      <w:tr>
        <w:tc>
          <w:tcPr>
            <w:tcW w:type="dxa" w:w="2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Dispatch TAT</w:t>
            </w:r>
          </w:p>
        </w:tc>
        <w:tc>
          <w:tcPr>
            <w:tcW w:type="dxa" w:w="3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Avg days: ORDERDATE to SHIP_DATE</w:t>
            </w:r>
          </w:p>
        </w:tc>
        <w:tc>
          <w:tcPr>
            <w:tcW w:type="dxa" w:w="348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&lt; 2 days target</w:t>
            </w:r>
          </w:p>
        </w:tc>
      </w:tr>
      <w:tr>
        <w:tc>
          <w:tcPr>
            <w:tcW w:type="dxa" w:w="2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Top 10 Pincodes</w:t>
            </w:r>
          </w:p>
        </w:tc>
        <w:tc>
          <w:tcPr>
            <w:tcW w:type="dxa" w:w="3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Order count per pincode, ranked</w:t>
            </w:r>
          </w:p>
        </w:tc>
        <w:tc>
          <w:tcPr>
            <w:tcW w:type="dxa" w:w="348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Focus logistics effort</w:t>
            </w:r>
          </w:p>
        </w:tc>
      </w:tr>
      <w:tr>
        <w:tc>
          <w:tcPr>
            <w:tcW w:type="dxa" w:w="2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Partner vs STN Ratio</w:t>
            </w:r>
          </w:p>
        </w:tc>
        <w:tc>
          <w:tcPr>
            <w:tcW w:type="dxa" w:w="3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SALE_DETAIL qty / TRANSFER qty</w:t>
            </w:r>
          </w:p>
        </w:tc>
        <w:tc>
          <w:tcPr>
            <w:tcW w:type="dxa" w:w="348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Track inter-warehouse balance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spacing w:after="80" w:before="120"/>
      </w:pPr>
      <w:r>
        <w:rPr>
          <w:rFonts w:ascii="Arial" w:cs="Arial" w:eastAsia="Arial" w:hAnsi="Arial"/>
          <w:b/>
          <w:bCs/>
          <w:color w:val="B71C1C"/>
          <w:sz w:val="22"/>
          <w:szCs w:val="22"/>
        </w:rPr>
        <w:t xml:space="preserve">C.  Returns &amp; Quality KPIs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800"/>
        <w:gridCol w:w="3480"/>
      </w:tblGrid>
      <w:tr>
        <w:tc>
          <w:tcPr>
            <w:tcW w:type="dxa" w:w="2800"/>
            <w:tcBorders>
              <w:top w:val="single" w:color="1B2A3B" w:sz="4"/>
              <w:left w:val="single" w:color="1B2A3B" w:sz="4"/>
              <w:bottom w:val="single" w:color="1B2A3B" w:sz="4"/>
              <w:right w:val="single" w:color="1B2A3B" w:sz="4"/>
            </w:tcBorders>
            <w:shd w:fill="1B2A3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KPI</w:t>
            </w:r>
          </w:p>
        </w:tc>
        <w:tc>
          <w:tcPr>
            <w:tcW w:type="dxa" w:w="3800"/>
            <w:tcBorders>
              <w:top w:val="single" w:color="1B2A3B" w:sz="4"/>
              <w:left w:val="single" w:color="1B2A3B" w:sz="4"/>
              <w:bottom w:val="single" w:color="1B2A3B" w:sz="4"/>
              <w:right w:val="single" w:color="1B2A3B" w:sz="4"/>
            </w:tcBorders>
            <w:shd w:fill="1B2A3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Formula</w:t>
            </w:r>
          </w:p>
        </w:tc>
        <w:tc>
          <w:tcPr>
            <w:tcW w:type="dxa" w:w="3480"/>
            <w:tcBorders>
              <w:top w:val="single" w:color="1B2A3B" w:sz="4"/>
              <w:left w:val="single" w:color="1B2A3B" w:sz="4"/>
              <w:bottom w:val="single" w:color="1B2A3B" w:sz="4"/>
              <w:right w:val="single" w:color="1B2A3B" w:sz="4"/>
            </w:tcBorders>
            <w:shd w:fill="1B2A3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Target / Insight</w:t>
            </w:r>
          </w:p>
        </w:tc>
      </w:tr>
      <w:tr>
        <w:tc>
          <w:tcPr>
            <w:tcW w:type="dxa" w:w="2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Sales Return Rate</w:t>
            </w:r>
          </w:p>
        </w:tc>
        <w:tc>
          <w:tcPr>
            <w:tcW w:type="dxa" w:w="3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Return Qty / Dispatch Qty × 100</w:t>
            </w:r>
          </w:p>
        </w:tc>
        <w:tc>
          <w:tcPr>
            <w:tcW w:type="dxa" w:w="348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&lt; 2% — investigate if higher</w:t>
            </w:r>
          </w:p>
        </w:tc>
      </w:tr>
      <w:tr>
        <w:tc>
          <w:tcPr>
            <w:tcW w:type="dxa" w:w="2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RTV Rate</w:t>
            </w:r>
          </w:p>
        </w:tc>
        <w:tc>
          <w:tcPr>
            <w:tcW w:type="dxa" w:w="3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RTV Qty / GRN Qty × 100</w:t>
            </w:r>
          </w:p>
        </w:tc>
        <w:tc>
          <w:tcPr>
            <w:tcW w:type="dxa" w:w="348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&lt; 0.5% — vendor quality flag</w:t>
            </w:r>
          </w:p>
        </w:tc>
      </w:tr>
      <w:tr>
        <w:tc>
          <w:tcPr>
            <w:tcW w:type="dxa" w:w="2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Return by Device Type</w:t>
            </w:r>
          </w:p>
        </w:tc>
        <w:tc>
          <w:tcPr>
            <w:tcW w:type="dxa" w:w="3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ONT vs Router return qty</w:t>
            </w:r>
          </w:p>
        </w:tc>
        <w:tc>
          <w:tcPr>
            <w:tcW w:type="dxa" w:w="348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Identify failure-prone model</w:t>
            </w:r>
          </w:p>
        </w:tc>
      </w:tr>
      <w:tr>
        <w:tc>
          <w:tcPr>
            <w:tcW w:type="dxa" w:w="2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Return by Pincode</w:t>
            </w:r>
          </w:p>
        </w:tc>
        <w:tc>
          <w:tcPr>
            <w:tcW w:type="dxa" w:w="3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Return qty grouped by pincode</w:t>
            </w:r>
          </w:p>
        </w:tc>
        <w:tc>
          <w:tcPr>
            <w:tcW w:type="dxa" w:w="348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Pinpoint field problem zones</w:t>
            </w:r>
          </w:p>
        </w:tc>
      </w:tr>
      <w:tr>
        <w:tc>
          <w:tcPr>
            <w:tcW w:type="dxa" w:w="2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Return Aging</w:t>
            </w:r>
          </w:p>
        </w:tc>
        <w:tc>
          <w:tcPr>
            <w:tcW w:type="dxa" w:w="3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Days since return GRN date</w:t>
            </w:r>
          </w:p>
        </w:tc>
        <w:tc>
          <w:tcPr>
            <w:tcW w:type="dxa" w:w="348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&lt; 7 days to refurb or dispose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spacing w:after="80" w:before="120"/>
      </w:pPr>
      <w:r>
        <w:rPr>
          <w:rFonts w:ascii="Arial" w:cs="Arial" w:eastAsia="Arial" w:hAnsi="Arial"/>
          <w:b/>
          <w:bCs/>
          <w:color w:val="E65100"/>
          <w:sz w:val="22"/>
          <w:szCs w:val="22"/>
        </w:rPr>
        <w:t xml:space="preserve">D.  Stock Health KPIs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800"/>
        <w:gridCol w:w="3480"/>
      </w:tblGrid>
      <w:tr>
        <w:tc>
          <w:tcPr>
            <w:tcW w:type="dxa" w:w="2800"/>
            <w:tcBorders>
              <w:top w:val="single" w:color="1B2A3B" w:sz="4"/>
              <w:left w:val="single" w:color="1B2A3B" w:sz="4"/>
              <w:bottom w:val="single" w:color="1B2A3B" w:sz="4"/>
              <w:right w:val="single" w:color="1B2A3B" w:sz="4"/>
            </w:tcBorders>
            <w:shd w:fill="1B2A3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KPI</w:t>
            </w:r>
          </w:p>
        </w:tc>
        <w:tc>
          <w:tcPr>
            <w:tcW w:type="dxa" w:w="3800"/>
            <w:tcBorders>
              <w:top w:val="single" w:color="1B2A3B" w:sz="4"/>
              <w:left w:val="single" w:color="1B2A3B" w:sz="4"/>
              <w:bottom w:val="single" w:color="1B2A3B" w:sz="4"/>
              <w:right w:val="single" w:color="1B2A3B" w:sz="4"/>
            </w:tcBorders>
            <w:shd w:fill="1B2A3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Formula</w:t>
            </w:r>
          </w:p>
        </w:tc>
        <w:tc>
          <w:tcPr>
            <w:tcW w:type="dxa" w:w="3480"/>
            <w:tcBorders>
              <w:top w:val="single" w:color="1B2A3B" w:sz="4"/>
              <w:left w:val="single" w:color="1B2A3B" w:sz="4"/>
              <w:bottom w:val="single" w:color="1B2A3B" w:sz="4"/>
              <w:right w:val="single" w:color="1B2A3B" w:sz="4"/>
            </w:tcBorders>
            <w:shd w:fill="1B2A3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Target / Insight</w:t>
            </w:r>
          </w:p>
        </w:tc>
      </w:tr>
      <w:tr>
        <w:tc>
          <w:tcPr>
            <w:tcW w:type="dxa" w:w="2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Stock on Hand</w:t>
            </w:r>
          </w:p>
        </w:tc>
        <w:tc>
          <w:tcPr>
            <w:tcW w:type="dxa" w:w="3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Opening + Inward - Outward (cumulative)</w:t>
            </w:r>
          </w:p>
        </w:tc>
        <w:tc>
          <w:tcPr>
            <w:tcW w:type="dxa" w:w="348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Real-time position by warehouse</w:t>
            </w:r>
          </w:p>
        </w:tc>
      </w:tr>
      <w:tr>
        <w:tc>
          <w:tcPr>
            <w:tcW w:type="dxa" w:w="2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Days of Inventory (DOI)</w:t>
            </w:r>
          </w:p>
        </w:tc>
        <w:tc>
          <w:tcPr>
            <w:tcW w:type="dxa" w:w="3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Stock on Hand / Avg Daily Dispatch</w:t>
            </w:r>
          </w:p>
        </w:tc>
        <w:tc>
          <w:tcPr>
            <w:tcW w:type="dxa" w:w="348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&gt; 30 days = overstocked; &lt; 7 = risk</w:t>
            </w:r>
          </w:p>
        </w:tc>
      </w:tr>
      <w:tr>
        <w:tc>
          <w:tcPr>
            <w:tcW w:type="dxa" w:w="2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Dead Stock (&gt;90 days)</w:t>
            </w:r>
          </w:p>
        </w:tc>
        <w:tc>
          <w:tcPr>
            <w:tcW w:type="dxa" w:w="3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Stock received &gt; 90 days ago, undispatched</w:t>
            </w:r>
          </w:p>
        </w:tc>
        <w:tc>
          <w:tcPr>
            <w:tcW w:type="dxa" w:w="348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0 — flag for clearance</w:t>
            </w:r>
          </w:p>
        </w:tc>
      </w:tr>
      <w:tr>
        <w:tc>
          <w:tcPr>
            <w:tcW w:type="dxa" w:w="2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OK vs Rejected Stock</w:t>
            </w:r>
          </w:p>
        </w:tc>
        <w:tc>
          <w:tcPr>
            <w:tcW w:type="dxa" w:w="3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OK Qty / Total Qty × 100</w:t>
            </w:r>
          </w:p>
        </w:tc>
        <w:tc>
          <w:tcPr>
            <w:tcW w:type="dxa" w:w="348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&gt; 99% — quality health</w:t>
            </w:r>
          </w:p>
        </w:tc>
      </w:tr>
      <w:tr>
        <w:tc>
          <w:tcPr>
            <w:tcW w:type="dxa" w:w="2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STN Net Flow</w:t>
            </w:r>
          </w:p>
        </w:tc>
        <w:tc>
          <w:tcPr>
            <w:tcW w:type="dxa" w:w="3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STN Receipt - STN Dispatch per warehouse</w:t>
            </w:r>
          </w:p>
        </w:tc>
        <w:tc>
          <w:tcPr>
            <w:tcW w:type="dxa" w:w="348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Identifies warehouse imbalance</w:t>
            </w:r>
          </w:p>
        </w:tc>
      </w:tr>
      <w:tr>
        <w:tc>
          <w:tcPr>
            <w:tcW w:type="dxa" w:w="2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Stock Turn Rate</w:t>
            </w:r>
          </w:p>
        </w:tc>
        <w:tc>
          <w:tcPr>
            <w:tcW w:type="dxa" w:w="3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Dispatched Qty / Avg Stock on Hand</w:t>
            </w:r>
          </w:p>
        </w:tc>
        <w:tc>
          <w:tcPr>
            <w:tcW w:type="dxa" w:w="348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Higher = faster moving inventory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r>
        <w:br w:type="page"/>
      </w:r>
    </w:p>
    <w:p>
      <w:pPr>
        <w:pBdr>
          <w:bottom w:val="single" w:color="1B2A3B" w:sz="8" w:space="4"/>
        </w:pBdr>
        <w:spacing w:after="120" w:before="280"/>
      </w:pPr>
      <w:r>
        <w:rPr>
          <w:rFonts w:ascii="Arial" w:cs="Arial" w:eastAsia="Arial" w:hAnsi="Arial"/>
          <w:b/>
          <w:bCs/>
          <w:color w:val="1B2A3B"/>
          <w:sz w:val="28"/>
          <w:szCs w:val="28"/>
        </w:rPr>
        <w:t xml:space="preserve">7.  Implementation Plan</w:t>
      </w:r>
    </w:p>
    <w:p>
      <w:r>
        <w:rPr>
          <w:sz w:val="20"/>
          <w:szCs w:val="20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200"/>
        <w:gridCol w:w="2480"/>
      </w:tblGrid>
      <w:tr>
        <w:tc>
          <w:tcPr>
            <w:tcW w:type="dxa" w:w="1400"/>
            <w:tcBorders>
              <w:top w:val="single" w:color="1B2A3B" w:sz="4"/>
              <w:left w:val="single" w:color="1B2A3B" w:sz="4"/>
              <w:bottom w:val="single" w:color="1B2A3B" w:sz="4"/>
              <w:right w:val="single" w:color="1B2A3B" w:sz="4"/>
            </w:tcBorders>
            <w:shd w:fill="1B2A3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Phase</w:t>
            </w:r>
          </w:p>
        </w:tc>
        <w:tc>
          <w:tcPr>
            <w:tcW w:type="dxa" w:w="6200"/>
            <w:tcBorders>
              <w:top w:val="single" w:color="1B2A3B" w:sz="4"/>
              <w:left w:val="single" w:color="1B2A3B" w:sz="4"/>
              <w:bottom w:val="single" w:color="1B2A3B" w:sz="4"/>
              <w:right w:val="single" w:color="1B2A3B" w:sz="4"/>
            </w:tcBorders>
            <w:shd w:fill="1B2A3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Activity</w:t>
            </w:r>
          </w:p>
        </w:tc>
        <w:tc>
          <w:tcPr>
            <w:tcW w:type="dxa" w:w="2480"/>
            <w:tcBorders>
              <w:top w:val="single" w:color="1B2A3B" w:sz="4"/>
              <w:left w:val="single" w:color="1B2A3B" w:sz="4"/>
              <w:bottom w:val="single" w:color="1B2A3B" w:sz="4"/>
              <w:right w:val="single" w:color="1B2A3B" w:sz="4"/>
            </w:tcBorders>
            <w:shd w:fill="1B2A3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Timeline</w:t>
            </w:r>
          </w:p>
        </w:tc>
      </w:tr>
      <w:tr>
        <w:tc>
          <w:tcPr>
            <w:tcW w:type="dxa" w:w="14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Phase 1</w:t>
            </w:r>
          </w:p>
        </w:tc>
        <w:tc>
          <w:tcPr>
            <w:tcW w:type="dxa" w:w="62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Data validation &amp; baseline confirmation (Jan 2026 opening stock)</w:t>
            </w:r>
          </w:p>
        </w:tc>
        <w:tc>
          <w:tcPr>
            <w:tcW w:type="dxa" w:w="248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Week 1</w:t>
            </w:r>
          </w:p>
        </w:tc>
      </w:tr>
      <w:tr>
        <w:tc>
          <w:tcPr>
            <w:tcW w:type="dxa" w:w="14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Phase 2</w:t>
            </w:r>
          </w:p>
        </w:tc>
        <w:tc>
          <w:tcPr>
            <w:tcW w:type="dxa" w:w="62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Build daily stock movement dataset from all 6 Pyrops tables</w:t>
            </w:r>
          </w:p>
        </w:tc>
        <w:tc>
          <w:tcPr>
            <w:tcW w:type="dxa" w:w="248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Week 1-2</w:t>
            </w:r>
          </w:p>
        </w:tc>
      </w:tr>
      <w:tr>
        <w:tc>
          <w:tcPr>
            <w:tcW w:type="dxa" w:w="14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Phase 3</w:t>
            </w:r>
          </w:p>
        </w:tc>
        <w:tc>
          <w:tcPr>
            <w:tcW w:type="dxa" w:w="62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Develop Monthly Stock Ledger report (ONT + Router, per warehouse)</w:t>
            </w:r>
          </w:p>
        </w:tc>
        <w:tc>
          <w:tcPr>
            <w:tcW w:type="dxa" w:w="248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Week 2</w:t>
            </w:r>
          </w:p>
        </w:tc>
      </w:tr>
      <w:tr>
        <w:tc>
          <w:tcPr>
            <w:tcW w:type="dxa" w:w="14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Phase 4</w:t>
            </w:r>
          </w:p>
        </w:tc>
        <w:tc>
          <w:tcPr>
            <w:tcW w:type="dxa" w:w="62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Build KPI calculation layer (rejection rate, DOI, return rate etc.)</w:t>
            </w:r>
          </w:p>
        </w:tc>
        <w:tc>
          <w:tcPr>
            <w:tcW w:type="dxa" w:w="248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Week 2-3</w:t>
            </w:r>
          </w:p>
        </w:tc>
      </w:tr>
      <w:tr>
        <w:tc>
          <w:tcPr>
            <w:tcW w:type="dxa" w:w="14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Phase 5</w:t>
            </w:r>
          </w:p>
        </w:tc>
        <w:tc>
          <w:tcPr>
            <w:tcW w:type="dxa" w:w="62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Dashboard development — charts, filters, drill-downs</w:t>
            </w:r>
          </w:p>
        </w:tc>
        <w:tc>
          <w:tcPr>
            <w:tcW w:type="dxa" w:w="248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Week 3-4</w:t>
            </w:r>
          </w:p>
        </w:tc>
      </w:tr>
      <w:tr>
        <w:tc>
          <w:tcPr>
            <w:tcW w:type="dxa" w:w="14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Phase 6</w:t>
            </w:r>
          </w:p>
        </w:tc>
        <w:tc>
          <w:tcPr>
            <w:tcW w:type="dxa" w:w="62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UAT, review with stakeholders, go-live</w:t>
            </w:r>
          </w:p>
        </w:tc>
        <w:tc>
          <w:tcPr>
            <w:tcW w:type="dxa" w:w="248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Week 4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pBdr>
          <w:bottom w:val="single" w:color="1B2A3B" w:sz="8" w:space="4"/>
        </w:pBdr>
        <w:spacing w:after="120" w:before="280"/>
      </w:pPr>
      <w:r>
        <w:rPr>
          <w:rFonts w:ascii="Arial" w:cs="Arial" w:eastAsia="Arial" w:hAnsi="Arial"/>
          <w:b/>
          <w:bCs/>
          <w:color w:val="1B2A3B"/>
          <w:sz w:val="28"/>
          <w:szCs w:val="28"/>
        </w:rPr>
        <w:t xml:space="preserve">8.  Expected Benefits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Real-time stock visibility — eliminate manual stock count dependencies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Proactive alerts on GRN pending closure, stockouts, and overstock situations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Vendor accountability — rejection rate and PO fulfillment tracked monthly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Data-driven dispatch planning — DOI and trend analysis guide procurement timing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End-to-end traceability — every unit tracked from vendor PO to partner delivery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Scalable — framework can be extended to ONU and additional warehouses</w:t>
      </w:r>
    </w:p>
    <w:p>
      <w:r>
        <w:rPr>
          <w:sz w:val="20"/>
          <w:szCs w:val="20"/>
        </w:rPr>
        <w:t xml:space="preserve"/>
      </w:r>
    </w:p>
    <w:p>
      <w:pPr>
        <w:pBdr>
          <w:bottom w:val="single" w:color="1B2A3B" w:sz="8" w:space="4"/>
        </w:pBdr>
        <w:spacing w:after="120" w:before="280"/>
      </w:pPr>
      <w:r>
        <w:rPr>
          <w:rFonts w:ascii="Arial" w:cs="Arial" w:eastAsia="Arial" w:hAnsi="Arial"/>
          <w:b/>
          <w:bCs/>
          <w:color w:val="1B2A3B"/>
          <w:sz w:val="28"/>
          <w:szCs w:val="28"/>
        </w:rPr>
        <w:t xml:space="preserve">9.  January 2026 Baseline (Opening Stock for Feb 2026)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The following figures, derived from live Snowflake data, serve as the verified opening stock for February 2026:</w:t>
      </w:r>
    </w:p>
    <w:p>
      <w:r>
        <w:rPr>
          <w:sz w:val="20"/>
          <w:szCs w:val="20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360"/>
        <w:gridCol w:w="2360"/>
        <w:gridCol w:w="2360"/>
      </w:tblGrid>
      <w:tr>
        <w:tc>
          <w:tcPr>
            <w:tcW w:type="dxa" w:w="3000"/>
            <w:tcBorders>
              <w:top w:val="single" w:color="1B2A3B" w:sz="4"/>
              <w:left w:val="single" w:color="1B2A3B" w:sz="4"/>
              <w:bottom w:val="single" w:color="1B2A3B" w:sz="4"/>
              <w:right w:val="single" w:color="1B2A3B" w:sz="4"/>
            </w:tcBorders>
            <w:shd w:fill="1B2A3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Metric</w:t>
            </w:r>
          </w:p>
        </w:tc>
        <w:tc>
          <w:tcPr>
            <w:tcW w:type="dxa" w:w="2360"/>
            <w:tcBorders>
              <w:top w:val="single" w:color="1B2A3B" w:sz="4"/>
              <w:left w:val="single" w:color="1B2A3B" w:sz="4"/>
              <w:bottom w:val="single" w:color="1B2A3B" w:sz="4"/>
              <w:right w:val="single" w:color="1B2A3B" w:sz="4"/>
            </w:tcBorders>
            <w:shd w:fill="1B2A3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ONT</w:t>
            </w:r>
          </w:p>
        </w:tc>
        <w:tc>
          <w:tcPr>
            <w:tcW w:type="dxa" w:w="2360"/>
            <w:tcBorders>
              <w:top w:val="single" w:color="1B2A3B" w:sz="4"/>
              <w:left w:val="single" w:color="1B2A3B" w:sz="4"/>
              <w:bottom w:val="single" w:color="1B2A3B" w:sz="4"/>
              <w:right w:val="single" w:color="1B2A3B" w:sz="4"/>
            </w:tcBorders>
            <w:shd w:fill="1B2A3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Router</w:t>
            </w:r>
          </w:p>
        </w:tc>
        <w:tc>
          <w:tcPr>
            <w:tcW w:type="dxa" w:w="2360"/>
            <w:tcBorders>
              <w:top w:val="single" w:color="1B2A3B" w:sz="4"/>
              <w:left w:val="single" w:color="1B2A3B" w:sz="4"/>
              <w:bottom w:val="single" w:color="1B2A3B" w:sz="4"/>
              <w:right w:val="single" w:color="1B2A3B" w:sz="4"/>
            </w:tcBorders>
            <w:shd w:fill="1B2A3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Total</w:t>
            </w:r>
          </w:p>
        </w:tc>
      </w:tr>
      <w:tr>
        <w:tc>
          <w:tcPr>
            <w:tcW w:type="dxa" w:w="30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Opening Stock (Jan 1)</w:t>
            </w:r>
          </w:p>
        </w:tc>
        <w:tc>
          <w:tcPr>
            <w:tcW w:type="dxa" w:w="23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0</w:t>
            </w:r>
          </w:p>
        </w:tc>
        <w:tc>
          <w:tcPr>
            <w:tcW w:type="dxa" w:w="23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0</w:t>
            </w:r>
          </w:p>
        </w:tc>
        <w:tc>
          <w:tcPr>
            <w:tcW w:type="dxa" w:w="23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0</w:t>
            </w:r>
          </w:p>
        </w:tc>
      </w:tr>
      <w:tr>
        <w:tc>
          <w:tcPr>
            <w:tcW w:type="dxa" w:w="30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Total Inward (Jan)</w:t>
            </w:r>
          </w:p>
        </w:tc>
        <w:tc>
          <w:tcPr>
            <w:tcW w:type="dxa" w:w="23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10,916</w:t>
            </w:r>
          </w:p>
        </w:tc>
        <w:tc>
          <w:tcPr>
            <w:tcW w:type="dxa" w:w="23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660</w:t>
            </w:r>
          </w:p>
        </w:tc>
        <w:tc>
          <w:tcPr>
            <w:tcW w:type="dxa" w:w="23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11,576</w:t>
            </w:r>
          </w:p>
        </w:tc>
      </w:tr>
      <w:tr>
        <w:tc>
          <w:tcPr>
            <w:tcW w:type="dxa" w:w="30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Total Outward (Jan)</w:t>
            </w:r>
          </w:p>
        </w:tc>
        <w:tc>
          <w:tcPr>
            <w:tcW w:type="dxa" w:w="23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TBD</w:t>
            </w:r>
          </w:p>
        </w:tc>
        <w:tc>
          <w:tcPr>
            <w:tcW w:type="dxa" w:w="23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TBD</w:t>
            </w:r>
          </w:p>
        </w:tc>
        <w:tc>
          <w:tcPr>
            <w:tcW w:type="dxa" w:w="23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TBD</w:t>
            </w:r>
          </w:p>
        </w:tc>
      </w:tr>
      <w:tr>
        <w:tc>
          <w:tcPr>
            <w:tcW w:type="dxa" w:w="30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Closing Stock = Feb Opening</w:t>
            </w:r>
          </w:p>
        </w:tc>
        <w:tc>
          <w:tcPr>
            <w:tcW w:type="dxa" w:w="23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10,916</w:t>
            </w:r>
          </w:p>
        </w:tc>
        <w:tc>
          <w:tcPr>
            <w:tcW w:type="dxa" w:w="23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660</w:t>
            </w:r>
          </w:p>
        </w:tc>
        <w:tc>
          <w:tcPr>
            <w:tcW w:type="dxa" w:w="23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11,576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546E7A"/>
          <w:sz w:val="20"/>
          <w:szCs w:val="20"/>
        </w:rPr>
        <w:t xml:space="preserve">Note: Outward figures for January are pending full reconciliation of dispatch data against the warehouse-level LOCATIONCODE filter. Final closing stock will be confirmed after Phase 1 validation.</w:t>
      </w:r>
    </w:p>
    <w:p>
      <w:r>
        <w:rPr>
          <w:sz w:val="20"/>
          <w:szCs w:val="20"/>
        </w:rPr>
        <w:t xml:space="preserve"/>
      </w:r>
    </w:p>
    <w:p>
      <w:r>
        <w:rPr>
          <w:sz w:val="20"/>
          <w:szCs w:val="20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5F5F5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r>
              <w:rPr>
                <w:rFonts w:ascii="Arial" w:cs="Arial" w:eastAsia="Arial" w:hAnsi="Arial"/>
                <w:color w:val="546E7A"/>
                <w:sz w:val="18"/>
                <w:szCs w:val="18"/>
              </w:rPr>
              <w:t xml:space="preserve">Prepared by: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color w:val="1B2A3B"/>
                <w:sz w:val="22"/>
                <w:szCs w:val="22"/>
              </w:rPr>
              <w:t xml:space="preserve">Inventory Analytics Team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546E7A"/>
                <w:sz w:val="18"/>
                <w:szCs w:val="18"/>
              </w:rPr>
              <w:t xml:space="preserve">April 2026</w:t>
            </w:r>
          </w:p>
        </w:tc>
        <w:tc>
          <w:tcPr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5F5F5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r>
              <w:rPr>
                <w:rFonts w:ascii="Arial" w:cs="Arial" w:eastAsia="Arial" w:hAnsi="Arial"/>
                <w:color w:val="546E7A"/>
                <w:sz w:val="18"/>
                <w:szCs w:val="18"/>
              </w:rPr>
              <w:t xml:space="preserve">Approved by: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1B2A3B"/>
                <w:sz w:val="22"/>
                <w:szCs w:val="22"/>
              </w:rPr>
              <w:t xml:space="preserve">________________________________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546E7A"/>
                <w:sz w:val="18"/>
                <w:szCs w:val="18"/>
              </w:rPr>
              <w:t xml:space="preserve">Date: _______________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0D7DE" w:sz="4" w:space="4"/>
      </w:pBdr>
      <w:jc w:val="center"/>
    </w:pPr>
    <w:r>
      <w:rPr>
        <w:rFonts w:ascii="Arial" w:cs="Arial" w:eastAsia="Arial" w:hAnsi="Arial"/>
        <w:color w:val="546E7A"/>
        <w:sz w:val="16"/>
        <w:szCs w:val="16"/>
      </w:rPr>
      <w:t xml:space="preserve">Wiom Inventory KPI Tracking — Project Brief  |  Page </w:t>
    </w:r>
    <w:r>
      <w:rPr>
        <w:rFonts w:ascii="Arial" w:cs="Arial" w:eastAsia="Arial" w:hAnsi="Arial"/>
        <w:color w:val="546E7A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2A3B" w:sz="6" w:space="4"/>
      </w:pBdr>
      <w:jc w:val="right"/>
    </w:pPr>
    <w:r>
      <w:rPr>
        <w:rFonts w:ascii="Arial" w:cs="Arial" w:eastAsia="Arial" w:hAnsi="Arial"/>
        <w:i/>
        <w:iCs/>
        <w:color w:val="546E7A"/>
        <w:sz w:val="16"/>
        <w:szCs w:val="16"/>
      </w:rPr>
      <w:t xml:space="preserve">CONFIDENTIAL — Internal Use Only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40" w:before="40"/>
        <w:ind w:left="480" w:hanging="240"/>
      </w:pPr>
      <w:rPr>
        <w:rFonts w:ascii="Arial" w:cs="Arial" w:eastAsia="Arial" w:hAnsi="Arial"/>
        <w:sz w:val="20"/>
        <w:szCs w:val="20"/>
      </w:rPr>
    </w:lvl>
    <w:lvl w:ilvl="1" w15:tentative="1">
      <w:start w:val="1"/>
      <w:numFmt w:val="bullet"/>
      <w:lvlText w:val="◦"/>
      <w:lvlJc w:val="left"/>
      <w:pPr>
        <w:spacing w:after="20" w:before="20"/>
        <w:ind w:left="900" w:hanging="240"/>
      </w:pPr>
      <w:rPr>
        <w:rFonts w:ascii="Arial" w:cs="Arial" w:eastAsia="Arial" w:hAnsi="Arial"/>
        <w:sz w:val="19"/>
        <w:szCs w:val="19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2026-04-24T10:40:58.350Z</dcterms:created>
  <dcterms:modified xsi:type="dcterms:W3CDTF">2026-04-24T10:40:58.351Z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