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8F" w:rsidRPr="0043108F" w:rsidRDefault="0043108F" w:rsidP="0043108F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bookmarkStart w:id="0" w:name="_GoBack"/>
      <w:r w:rsidRPr="0043108F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Business Requirements</w:t>
      </w:r>
    </w:p>
    <w:p w:rsidR="0043108F" w:rsidRPr="0043108F" w:rsidRDefault="0043108F" w:rsidP="0043108F">
      <w:pPr>
        <w:shd w:val="clear" w:color="auto" w:fill="FFFFFF"/>
        <w:spacing w:after="20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43108F">
        <w:rPr>
          <w:rFonts w:ascii="Arial" w:eastAsia="Times New Roman" w:hAnsi="Arial" w:cs="Arial"/>
          <w:sz w:val="21"/>
          <w:szCs w:val="21"/>
          <w:lang w:eastAsia="en-IN"/>
        </w:rPr>
        <w:t>A CURA health service project can have a variety of business requirements, depending on the specific goals and objectives of the project. Some potential requirements may include: </w:t>
      </w:r>
    </w:p>
    <w:p w:rsidR="0043108F" w:rsidRPr="0043108F" w:rsidRDefault="0043108F" w:rsidP="0043108F">
      <w:pPr>
        <w:numPr>
          <w:ilvl w:val="0"/>
          <w:numId w:val="1"/>
        </w:numPr>
        <w:shd w:val="clear" w:color="auto" w:fill="FFFFFF"/>
        <w:spacing w:after="0" w:line="240" w:lineRule="auto"/>
        <w:ind w:left="7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3108F">
        <w:rPr>
          <w:rFonts w:ascii="Arial" w:eastAsia="Times New Roman" w:hAnsi="Arial" w:cs="Arial"/>
          <w:sz w:val="21"/>
          <w:szCs w:val="21"/>
          <w:lang w:eastAsia="en-IN"/>
        </w:rPr>
        <w:t>Accurate and up-to-date information about doctor availability: The project should use the most recent and reliable data to classify drugs, in order to ensure that the information is accurate and relevant to current medical practices. • Flexibility: The classification system should be flexible and able to adapt to new drugs and changing information as it becomes available.</w:t>
      </w:r>
    </w:p>
    <w:p w:rsidR="0043108F" w:rsidRPr="0043108F" w:rsidRDefault="0043108F" w:rsidP="0043108F">
      <w:pPr>
        <w:numPr>
          <w:ilvl w:val="0"/>
          <w:numId w:val="1"/>
        </w:numPr>
        <w:shd w:val="clear" w:color="auto" w:fill="FFFFFF"/>
        <w:spacing w:after="0" w:line="240" w:lineRule="auto"/>
        <w:ind w:left="7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3108F">
        <w:rPr>
          <w:rFonts w:ascii="Arial" w:eastAsia="Times New Roman" w:hAnsi="Arial" w:cs="Arial"/>
          <w:sz w:val="21"/>
          <w:szCs w:val="21"/>
          <w:lang w:eastAsia="en-IN"/>
        </w:rPr>
        <w:t>  Compliance: The project should comply with all relevant laws and regulations, such as FDA guidelines for classifying drugs. </w:t>
      </w:r>
    </w:p>
    <w:p w:rsidR="0043108F" w:rsidRPr="0043108F" w:rsidRDefault="0043108F" w:rsidP="0043108F">
      <w:pPr>
        <w:numPr>
          <w:ilvl w:val="0"/>
          <w:numId w:val="1"/>
        </w:numPr>
        <w:shd w:val="clear" w:color="auto" w:fill="FFFFFF"/>
        <w:spacing w:after="0" w:line="240" w:lineRule="auto"/>
        <w:ind w:left="780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43108F">
        <w:rPr>
          <w:rFonts w:ascii="Arial" w:eastAsia="Times New Roman" w:hAnsi="Arial" w:cs="Arial"/>
          <w:sz w:val="21"/>
          <w:szCs w:val="21"/>
          <w:lang w:eastAsia="en-IN"/>
        </w:rPr>
        <w:t>User-friendly interface: The classification system should be easy to use and understand for both medical professionals and patients.</w:t>
      </w:r>
    </w:p>
    <w:bookmarkEnd w:id="0"/>
    <w:p w:rsidR="00823AEC" w:rsidRDefault="00823AEC"/>
    <w:sectPr w:rsidR="00823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D675B"/>
    <w:multiLevelType w:val="multilevel"/>
    <w:tmpl w:val="ABC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08F"/>
    <w:rsid w:val="0043108F"/>
    <w:rsid w:val="007E55C8"/>
    <w:rsid w:val="0082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6C1EC-97B1-496F-889E-64BED6C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10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3108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1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6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2024-01-13T16:53:00Z</dcterms:created>
  <dcterms:modified xsi:type="dcterms:W3CDTF">2024-01-14T10:47:00Z</dcterms:modified>
</cp:coreProperties>
</file>