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</w:rPr>
        <w:t>Advance Excel Assignment 3</w:t>
      </w:r>
    </w:p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How and when to use the AutoSum command in Excel?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Answer: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can use the AutoSum command in Excel to quickly add up a column or row of numbers. To use AutoSum, select the cell where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we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want the sum to appear, then click on the "AutoSum" button (Σ) on the toolbar. Excel will automatically suggest a range based on adjacent cells with numbers, and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can press Enter to accept the suggestion.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What is the shortcut key to perform AutoSum?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Answer: The shortcut key to perform AutoSum in Excel is Alt + =. This selects the adjacent cells and inserts the SUM function.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How do you get rid of a formula that omits adjacent cells?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Answer: To get rid of a formula that omits adjacent cells and replace it with the actual values,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can follow these steps: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Select the cell with the formula.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Copy the cell (Ctrl + C).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Right-click on the same cell or another cell where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want to paste the value.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Choose "Paste Values" from the context menu.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How do you select non-adjacent cells in Excel 2016?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Answer: To select non-adjacent cells in Excel 2016, hold down the Ctrl key while clicking on each cell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want to include in the selection. This allows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to choose cells that are not next to each other.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What happens if you choose a column, hold down the Alt key and press the letters OCW in quick succession?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Answer: If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choose a column, hold down the Alt key, and press the letters OCW in quick succession, Excel will hide the selected column. This is a shortcut for the "Hide Columns" command.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If you right-click on a row reference number and click on Insert, where will the row be added?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Answer: If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right-click on a row reference number and click on Insert, the new row will be added above the selected row. For example, if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right-click on the row number 5 and choose Insert, a new row will be inserted between rows 4 and 5.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C674DE"/>
    <w:multiLevelType w:val="singleLevel"/>
    <w:tmpl w:val="E8C674D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80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2023-11-24T15:50:17Z</dcterms:created>
  <dc:creator>piyus</dc:creator>
  <cp:lastModifiedBy>Piyush Gupta</cp:lastModifiedBy>
  <dcterms:modified xsi:type="dcterms:W3CDTF">2023-11-24T15:54:50Z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F9A9E780FE514FB6B3639CE8EB2B7851_12</vt:lpwstr>
  </property>
</Properties>
</file>