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Pulse — 2026-10-20</w:t>
      </w:r>
    </w:p>
    <w:p>
      <w:pPr>
        <w:pStyle w:val="Heading1"/>
      </w:pPr>
      <w:r>
        <w:t>Weekly Product Pulse — Week of October 20, 2026</w:t>
      </w:r>
    </w:p>
    <w:p>
      <w:pPr>
        <w:pStyle w:val="Heading2"/>
      </w:pPr>
      <w:r>
        <w:t>Summary</w:t>
      </w:r>
    </w:p>
    <w:p>
      <w:r>
        <w:t>Weekly review intelligence pulse highlights recurring user feedback.</w:t>
      </w:r>
    </w:p>
    <w:p>
      <w:pPr>
        <w:pStyle w:val="Heading2"/>
      </w:pPr>
      <w:r>
        <w:t>Top Themes</w:t>
      </w:r>
    </w:p>
    <w:p>
      <w:pPr>
        <w:pStyle w:val="ListBullet"/>
      </w:pPr>
      <w:r>
        <w:t>High Fees &amp; Charges: 150 mentions</w:t>
      </w:r>
    </w:p>
    <w:p>
      <w:pPr>
        <w:pStyle w:val="ListBullet"/>
      </w:pPr>
      <w:r>
        <w:t>Customer Support &amp; Account Setup: 120 mentions</w:t>
      </w:r>
    </w:p>
    <w:p>
      <w:pPr>
        <w:pStyle w:val="ListBullet"/>
      </w:pPr>
      <w:r>
        <w:t>App Performance &amp; Technical Glitches: 80 mentions</w:t>
      </w:r>
    </w:p>
    <w:p>
      <w:pPr>
        <w:pStyle w:val="Heading2"/>
      </w:pPr>
      <w:r>
        <w:t>Supporting User Quotes</w:t>
      </w:r>
    </w:p>
    <w:p>
      <w:pPr>
        <w:pStyle w:val="ListBullet"/>
      </w:pPr>
      <w:r>
        <w:t>"all user, red warning🔥🔥: this broker, very high charges all segment don’t instal..." — Samadhanmore</w:t>
      </w:r>
    </w:p>
    <w:p>
      <w:pPr>
        <w:pStyle w:val="ListBullet"/>
      </w:pPr>
      <w:r>
        <w:t>"Demat account creation took 2 months and still didn’t get created: This has to b..." — Uttam1101</w:t>
      </w:r>
    </w:p>
    <w:p>
      <w:pPr>
        <w:pStyle w:val="ListBullet"/>
      </w:pPr>
      <w:r>
        <w:t>"chart thode slow chal rahai hai..." — Nek Ram</w:t>
      </w:r>
    </w:p>
    <w:p>
      <w:pPr>
        <w:pStyle w:val="Heading2"/>
      </w:pPr>
      <w:r>
        <w:t>Key Observation</w:t>
      </w:r>
    </w:p>
    <w:p>
      <w:r>
        <w:t>Primary user friction stems from Exit Load.</w:t>
      </w:r>
    </w:p>
    <w:p>
      <w:pPr>
        <w:pStyle w:val="Heading2"/>
      </w:pPr>
      <w:r>
        <w:t>Action Ideas</w:t>
      </w:r>
    </w:p>
    <w:p>
      <w:pPr>
        <w:pStyle w:val="ListBullet"/>
      </w:pPr>
      <w:r>
        <w:t>Deploy clear pre-transaction fee calculator modal.</w:t>
      </w:r>
    </w:p>
    <w:p>
      <w:pPr>
        <w:pStyle w:val="ListBullet"/>
      </w:pPr>
      <w:r>
        <w:t>Add visual holding period indicators on investment portfolios.</w:t>
      </w:r>
    </w:p>
    <w:p>
      <w:pPr>
        <w:pStyle w:val="ListBullet"/>
      </w:pPr>
      <w:r>
        <w:t>Update onboarding documentation with statutory fee explanations.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Fee Clarification: Exit Load</w:t>
      </w:r>
    </w:p>
    <w:p>
      <w:pPr>
        <w:pStyle w:val="Heading2"/>
      </w:pPr>
      <w:r>
        <w:t>Reusable Support Snippet</w:t>
      </w:r>
    </w:p>
    <w:p>
      <w:pPr>
        <w:pStyle w:val="ListBullet"/>
      </w:pPr>
      <w:r>
        <w:t>Exit load is a charge levied only when units are redeemed before the fund‑specified minimum holding period; if the investment is held longer than that period, no exit load is applied.</w:t>
      </w:r>
    </w:p>
    <w:p>
      <w:pPr>
        <w:pStyle w:val="ListBullet"/>
      </w:pPr>
      <w:r>
        <w:t>The charge is calculated as a percentage of the total redemption value (principal + gains) and is deducted from the amount paid out, not separately from the principal.</w:t>
      </w:r>
    </w:p>
    <w:p>
      <w:pPr>
        <w:pStyle w:val="ListBullet"/>
      </w:pPr>
      <w:r>
        <w:t>Exit‑load percentages differ by scheme type (e.g., equity, debt, hybrid) and by the length of the holding period; they are not uniform across all mutual funds.</w:t>
      </w:r>
    </w:p>
    <w:p>
      <w:pPr>
        <w:pStyle w:val="ListBullet"/>
      </w:pPr>
      <w:r>
        <w:t>For systematic investment plans (SIPs), each instalment starts its own holding‑period clock, so an early redemption of a later instalment may attract an exit load even if earlier instalments have matured.</w:t>
      </w:r>
    </w:p>
    <w:p>
      <w:pPr>
        <w:pStyle w:val="ListBullet"/>
      </w:pPr>
      <w:r>
        <w:t>The exit‑load amount is subject to Goods and Services Tax (GST) at the prevailing rate, which is added to the charge before deduction</w:t>
      </w:r>
    </w:p>
    <w:p>
      <w:r>
        <w:t>**Official Sources:**</w:t>
      </w:r>
    </w:p>
    <w:p>
      <w:pPr>
        <w:pStyle w:val="ListBullet"/>
      </w:pPr>
      <w:r>
        <w:t>https://www.sebi.gov.in/legal/circulars/jun-2009/exit-load-mutual-funds_3555.html</w:t>
      </w:r>
    </w:p>
    <w:p>
      <w:pPr>
        <w:pStyle w:val="ListBullet"/>
      </w:pPr>
      <w:r>
        <w:t>https://www.amfiindia.com/investor-corner/knowledge-center/exit-load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