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8251" w14:textId="269E5363" w:rsidR="00B377C3" w:rsidRDefault="00B377C3" w:rsidP="000B17FA">
      <w:pPr>
        <w:jc w:val="center"/>
        <w:rPr>
          <w:rFonts w:ascii="Times New Roman" w:hAnsi="Times New Roman" w:cs="Times New Roman"/>
          <w:sz w:val="24"/>
          <w:szCs w:val="24"/>
        </w:rPr>
      </w:pPr>
      <w:r w:rsidRPr="001D6315">
        <w:rPr>
          <w:rFonts w:ascii="Times New Roman" w:hAnsi="Times New Roman" w:cs="Times New Roman"/>
          <w:sz w:val="24"/>
          <w:szCs w:val="24"/>
        </w:rPr>
        <w:t>ALGO Trading</w:t>
      </w:r>
    </w:p>
    <w:p w14:paraId="2BE97FBF" w14:textId="77777777" w:rsidR="00C411CD" w:rsidRDefault="00C411CD" w:rsidP="000B17F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CFF9AA" w14:textId="77777777" w:rsidR="00257EFB" w:rsidRDefault="00EB2FF2" w:rsidP="00257E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2FF2">
        <w:rPr>
          <w:rFonts w:ascii="Times New Roman" w:hAnsi="Times New Roman" w:cs="Times New Roman"/>
          <w:sz w:val="24"/>
          <w:szCs w:val="24"/>
        </w:rPr>
        <w:t xml:space="preserve">GARCH is one of the </w:t>
      </w:r>
      <w:r w:rsidRPr="00EB2FF2">
        <w:rPr>
          <w:rFonts w:ascii="Times New Roman" w:hAnsi="Times New Roman" w:cs="Times New Roman"/>
          <w:b/>
          <w:bCs/>
          <w:sz w:val="24"/>
          <w:szCs w:val="24"/>
        </w:rPr>
        <w:t>most advanced volatility models</w:t>
      </w:r>
      <w:r w:rsidRPr="00EB2FF2">
        <w:rPr>
          <w:rFonts w:ascii="Times New Roman" w:hAnsi="Times New Roman" w:cs="Times New Roman"/>
          <w:sz w:val="24"/>
          <w:szCs w:val="24"/>
        </w:rPr>
        <w:t xml:space="preserve"> used even by hedge funds.</w:t>
      </w:r>
      <w:r w:rsidR="00257EFB">
        <w:rPr>
          <w:rFonts w:ascii="Times New Roman" w:hAnsi="Times New Roman" w:cs="Times New Roman"/>
          <w:sz w:val="24"/>
          <w:szCs w:val="24"/>
        </w:rPr>
        <w:t xml:space="preserve"> </w:t>
      </w:r>
      <w:r w:rsidR="00257EFB" w:rsidRPr="00EB2FF2">
        <w:rPr>
          <w:rFonts w:ascii="Times New Roman" w:hAnsi="Times New Roman" w:cs="Times New Roman"/>
          <w:b/>
          <w:bCs/>
          <w:sz w:val="24"/>
          <w:szCs w:val="24"/>
        </w:rPr>
        <w:t>You’re not predicting direction, just future movement intensity (volatility).</w:t>
      </w:r>
    </w:p>
    <w:p w14:paraId="61427722" w14:textId="5D6E78B7" w:rsidR="00EB2FF2" w:rsidRPr="00EB2FF2" w:rsidRDefault="00EB2FF2" w:rsidP="00EB2FF2">
      <w:pPr>
        <w:rPr>
          <w:rFonts w:ascii="Times New Roman" w:hAnsi="Times New Roman" w:cs="Times New Roman"/>
          <w:sz w:val="24"/>
          <w:szCs w:val="24"/>
        </w:rPr>
      </w:pPr>
      <w:r w:rsidRPr="00EB2FF2">
        <w:rPr>
          <w:rFonts w:ascii="Times New Roman" w:hAnsi="Times New Roman" w:cs="Times New Roman"/>
          <w:sz w:val="24"/>
          <w:szCs w:val="24"/>
        </w:rPr>
        <w:t xml:space="preserve">Markets move in </w:t>
      </w:r>
      <w:r w:rsidRPr="00EB2FF2">
        <w:rPr>
          <w:rFonts w:ascii="Times New Roman" w:hAnsi="Times New Roman" w:cs="Times New Roman"/>
          <w:i/>
          <w:iCs/>
          <w:sz w:val="24"/>
          <w:szCs w:val="24"/>
        </w:rPr>
        <w:t>clusters</w:t>
      </w:r>
      <w:r w:rsidRPr="00EB2FF2">
        <w:rPr>
          <w:rFonts w:ascii="Times New Roman" w:hAnsi="Times New Roman" w:cs="Times New Roman"/>
          <w:sz w:val="24"/>
          <w:szCs w:val="24"/>
        </w:rPr>
        <w:t xml:space="preserve"> —sometimes calm (tiny moves), sometimes wild (big swings).</w:t>
      </w:r>
      <w:r w:rsidR="00257EFB">
        <w:rPr>
          <w:rFonts w:ascii="Times New Roman" w:hAnsi="Times New Roman" w:cs="Times New Roman"/>
          <w:sz w:val="24"/>
          <w:szCs w:val="24"/>
        </w:rPr>
        <w:t xml:space="preserve"> </w:t>
      </w:r>
      <w:r w:rsidRPr="00EB2FF2">
        <w:rPr>
          <w:rFonts w:ascii="Times New Roman" w:hAnsi="Times New Roman" w:cs="Times New Roman"/>
          <w:sz w:val="24"/>
          <w:szCs w:val="24"/>
        </w:rPr>
        <w:t xml:space="preserve">GARCH’s only job is to </w:t>
      </w:r>
      <w:r w:rsidRPr="00EB2FF2">
        <w:rPr>
          <w:rFonts w:ascii="Times New Roman" w:hAnsi="Times New Roman" w:cs="Times New Roman"/>
          <w:b/>
          <w:bCs/>
          <w:sz w:val="24"/>
          <w:szCs w:val="24"/>
        </w:rPr>
        <w:t>measure how wild the market is right now</w:t>
      </w:r>
      <w:r w:rsidRPr="00EB2FF2">
        <w:rPr>
          <w:rFonts w:ascii="Times New Roman" w:hAnsi="Times New Roman" w:cs="Times New Roman"/>
          <w:sz w:val="24"/>
          <w:szCs w:val="24"/>
        </w:rPr>
        <w:t xml:space="preserve"> — and </w:t>
      </w:r>
      <w:r w:rsidRPr="00EB2FF2">
        <w:rPr>
          <w:rFonts w:ascii="Times New Roman" w:hAnsi="Times New Roman" w:cs="Times New Roman"/>
          <w:b/>
          <w:bCs/>
          <w:sz w:val="24"/>
          <w:szCs w:val="24"/>
        </w:rPr>
        <w:t>predict</w:t>
      </w:r>
      <w:r w:rsidRPr="00EB2FF2">
        <w:rPr>
          <w:rFonts w:ascii="Times New Roman" w:hAnsi="Times New Roman" w:cs="Times New Roman"/>
          <w:sz w:val="24"/>
          <w:szCs w:val="24"/>
        </w:rPr>
        <w:t xml:space="preserve"> how wild the next candle might be.</w:t>
      </w:r>
    </w:p>
    <w:p w14:paraId="4DE13E6C" w14:textId="77777777" w:rsidR="00EB2FF2" w:rsidRPr="00EB2FF2" w:rsidRDefault="00EB2FF2" w:rsidP="00EB2FF2">
      <w:pPr>
        <w:rPr>
          <w:rFonts w:ascii="Times New Roman" w:hAnsi="Times New Roman" w:cs="Times New Roman"/>
          <w:sz w:val="24"/>
          <w:szCs w:val="24"/>
        </w:rPr>
      </w:pPr>
      <w:r w:rsidRPr="00EB2FF2">
        <w:rPr>
          <w:rFonts w:ascii="Times New Roman" w:hAnsi="Times New Roman" w:cs="Times New Roman"/>
          <w:sz w:val="24"/>
          <w:szCs w:val="24"/>
        </w:rPr>
        <w:t xml:space="preserve">Then your algo uses that forecast to </w:t>
      </w:r>
      <w:r w:rsidRPr="00EB2FF2">
        <w:rPr>
          <w:rFonts w:ascii="Times New Roman" w:hAnsi="Times New Roman" w:cs="Times New Roman"/>
          <w:b/>
          <w:bCs/>
          <w:sz w:val="24"/>
          <w:szCs w:val="24"/>
        </w:rPr>
        <w:t>decide position size</w:t>
      </w:r>
      <w:r w:rsidRPr="00EB2FF2">
        <w:rPr>
          <w:rFonts w:ascii="Times New Roman" w:hAnsi="Times New Roman" w:cs="Times New Roman"/>
          <w:sz w:val="24"/>
          <w:szCs w:val="24"/>
        </w:rPr>
        <w:t>:</w:t>
      </w:r>
    </w:p>
    <w:p w14:paraId="5524A4BA" w14:textId="77777777" w:rsidR="00EB2FF2" w:rsidRPr="00EB2FF2" w:rsidRDefault="00EB2FF2" w:rsidP="00EB2FF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B2FF2">
        <w:rPr>
          <w:rFonts w:ascii="Times New Roman" w:hAnsi="Times New Roman" w:cs="Times New Roman"/>
          <w:sz w:val="24"/>
          <w:szCs w:val="24"/>
        </w:rPr>
        <w:t>If market is calm → volatility low → trade bigger.</w:t>
      </w:r>
    </w:p>
    <w:p w14:paraId="79D05832" w14:textId="77777777" w:rsidR="00EB2FF2" w:rsidRPr="00EB2FF2" w:rsidRDefault="00EB2FF2" w:rsidP="00EB2FF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B2FF2">
        <w:rPr>
          <w:rFonts w:ascii="Times New Roman" w:hAnsi="Times New Roman" w:cs="Times New Roman"/>
          <w:sz w:val="24"/>
          <w:szCs w:val="24"/>
        </w:rPr>
        <w:t>If market is jumpy → volatility high → trade smaller.</w:t>
      </w:r>
    </w:p>
    <w:p w14:paraId="26297B7C" w14:textId="40B369E5" w:rsidR="00EB2FF2" w:rsidRPr="00EB2FF2" w:rsidRDefault="00EB2FF2" w:rsidP="00EB2FF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Capital = 100000</w:t>
      </w:r>
      <w:r w:rsidR="00257EFB">
        <w:rPr>
          <w:rFonts w:ascii="Times New Roman" w:hAnsi="Times New Roman" w:cs="Times New Roman"/>
          <w:b/>
          <w:bCs/>
          <w:sz w:val="24"/>
          <w:szCs w:val="24"/>
        </w:rPr>
        <w:t xml:space="preserve">/-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108"/>
        <w:gridCol w:w="1018"/>
        <w:gridCol w:w="1867"/>
        <w:gridCol w:w="1065"/>
        <w:gridCol w:w="2409"/>
        <w:gridCol w:w="1985"/>
        <w:gridCol w:w="1869"/>
        <w:gridCol w:w="3034"/>
      </w:tblGrid>
      <w:tr w:rsidR="00257EFB" w:rsidRPr="00EB2FF2" w14:paraId="52EF9EFE" w14:textId="77777777" w:rsidTr="00257EFB">
        <w:trPr>
          <w:tblHeader/>
          <w:tblCellSpacing w:w="15" w:type="dxa"/>
        </w:trPr>
        <w:tc>
          <w:tcPr>
            <w:tcW w:w="988" w:type="dxa"/>
            <w:vAlign w:val="center"/>
            <w:hideMark/>
          </w:tcPr>
          <w:p w14:paraId="297393E8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1078" w:type="dxa"/>
            <w:vAlign w:val="center"/>
            <w:hideMark/>
          </w:tcPr>
          <w:p w14:paraId="51FE0618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Condition</w:t>
            </w:r>
          </w:p>
        </w:tc>
        <w:tc>
          <w:tcPr>
            <w:tcW w:w="988" w:type="dxa"/>
            <w:vAlign w:val="center"/>
            <w:hideMark/>
          </w:tcPr>
          <w:p w14:paraId="193CA641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 Volatility</w:t>
            </w:r>
          </w:p>
        </w:tc>
        <w:tc>
          <w:tcPr>
            <w:tcW w:w="1837" w:type="dxa"/>
            <w:vAlign w:val="center"/>
            <w:hideMark/>
          </w:tcPr>
          <w:p w14:paraId="46C2D5CB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 in ₹</w:t>
            </w:r>
          </w:p>
        </w:tc>
        <w:tc>
          <w:tcPr>
            <w:tcW w:w="1035" w:type="dxa"/>
            <w:vAlign w:val="center"/>
            <w:hideMark/>
          </w:tcPr>
          <w:p w14:paraId="3650E5CE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per Trade</w:t>
            </w:r>
          </w:p>
        </w:tc>
        <w:tc>
          <w:tcPr>
            <w:tcW w:w="2379" w:type="dxa"/>
            <w:vAlign w:val="center"/>
            <w:hideMark/>
          </w:tcPr>
          <w:p w14:paraId="588CDC7D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Per-Share Movement (Volatility × Price)</w:t>
            </w:r>
          </w:p>
        </w:tc>
        <w:tc>
          <w:tcPr>
            <w:tcW w:w="1955" w:type="dxa"/>
            <w:vAlign w:val="center"/>
            <w:hideMark/>
          </w:tcPr>
          <w:p w14:paraId="2EF37A48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 → ₹500 / (Vol × Price)</w:t>
            </w:r>
          </w:p>
        </w:tc>
        <w:tc>
          <w:tcPr>
            <w:tcW w:w="1839" w:type="dxa"/>
            <w:vAlign w:val="center"/>
            <w:hideMark/>
          </w:tcPr>
          <w:p w14:paraId="4DA6F1F3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 Size (Shares)</w:t>
            </w:r>
          </w:p>
        </w:tc>
        <w:tc>
          <w:tcPr>
            <w:tcW w:w="2989" w:type="dxa"/>
            <w:vAlign w:val="center"/>
            <w:hideMark/>
          </w:tcPr>
          <w:p w14:paraId="189CD04B" w14:textId="77777777" w:rsidR="00EB2FF2" w:rsidRPr="00EB2FF2" w:rsidRDefault="00EB2FF2" w:rsidP="00EB2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</w:t>
            </w:r>
          </w:p>
        </w:tc>
      </w:tr>
      <w:tr w:rsidR="00257EFB" w:rsidRPr="00EB2FF2" w14:paraId="2324EB61" w14:textId="77777777" w:rsidTr="00257EFB">
        <w:trPr>
          <w:tblCellSpacing w:w="15" w:type="dxa"/>
        </w:trPr>
        <w:tc>
          <w:tcPr>
            <w:tcW w:w="988" w:type="dxa"/>
            <w:vAlign w:val="center"/>
            <w:hideMark/>
          </w:tcPr>
          <w:p w14:paraId="4DB356A1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 Case</w:t>
            </w:r>
          </w:p>
        </w:tc>
        <w:tc>
          <w:tcPr>
            <w:tcW w:w="1078" w:type="dxa"/>
            <w:vAlign w:val="center"/>
            <w:hideMark/>
          </w:tcPr>
          <w:p w14:paraId="740F4EF4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Normal market</w:t>
            </w:r>
          </w:p>
        </w:tc>
        <w:tc>
          <w:tcPr>
            <w:tcW w:w="988" w:type="dxa"/>
            <w:vAlign w:val="center"/>
            <w:hideMark/>
          </w:tcPr>
          <w:p w14:paraId="0A54D922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1%</w:t>
            </w:r>
          </w:p>
        </w:tc>
        <w:tc>
          <w:tcPr>
            <w:tcW w:w="1837" w:type="dxa"/>
            <w:vAlign w:val="center"/>
            <w:hideMark/>
          </w:tcPr>
          <w:p w14:paraId="741AB5CE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1035" w:type="dxa"/>
            <w:vAlign w:val="center"/>
            <w:hideMark/>
          </w:tcPr>
          <w:p w14:paraId="66A928DC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</w:t>
            </w:r>
          </w:p>
        </w:tc>
        <w:tc>
          <w:tcPr>
            <w:tcW w:w="2379" w:type="dxa"/>
            <w:vAlign w:val="center"/>
            <w:hideMark/>
          </w:tcPr>
          <w:p w14:paraId="02917843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₹1000 × 0.01 = ₹10</w:t>
            </w:r>
          </w:p>
        </w:tc>
        <w:tc>
          <w:tcPr>
            <w:tcW w:w="1955" w:type="dxa"/>
            <w:vAlign w:val="center"/>
            <w:hideMark/>
          </w:tcPr>
          <w:p w14:paraId="21BF4AE1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 / ₹10</w:t>
            </w:r>
          </w:p>
        </w:tc>
        <w:tc>
          <w:tcPr>
            <w:tcW w:w="1839" w:type="dxa"/>
            <w:vAlign w:val="center"/>
            <w:hideMark/>
          </w:tcPr>
          <w:p w14:paraId="42A8577B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 shares</w:t>
            </w:r>
          </w:p>
        </w:tc>
        <w:tc>
          <w:tcPr>
            <w:tcW w:w="2989" w:type="dxa"/>
            <w:vAlign w:val="center"/>
            <w:hideMark/>
          </w:tcPr>
          <w:p w14:paraId="4F30EDF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Standard volatility → medium position</w:t>
            </w:r>
          </w:p>
        </w:tc>
      </w:tr>
      <w:tr w:rsidR="00257EFB" w:rsidRPr="00EB2FF2" w14:paraId="13A1CA72" w14:textId="77777777" w:rsidTr="00257EFB">
        <w:trPr>
          <w:tblCellSpacing w:w="15" w:type="dxa"/>
        </w:trPr>
        <w:tc>
          <w:tcPr>
            <w:tcW w:w="988" w:type="dxa"/>
            <w:vAlign w:val="center"/>
            <w:hideMark/>
          </w:tcPr>
          <w:p w14:paraId="5A669DE3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High Volatility</w:t>
            </w:r>
          </w:p>
        </w:tc>
        <w:tc>
          <w:tcPr>
            <w:tcW w:w="1078" w:type="dxa"/>
            <w:vAlign w:val="center"/>
            <w:hideMark/>
          </w:tcPr>
          <w:p w14:paraId="2DC3E967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Market is wild</w:t>
            </w:r>
          </w:p>
        </w:tc>
        <w:tc>
          <w:tcPr>
            <w:tcW w:w="988" w:type="dxa"/>
            <w:vAlign w:val="center"/>
            <w:hideMark/>
          </w:tcPr>
          <w:p w14:paraId="4FDDE963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2%</w:t>
            </w:r>
          </w:p>
        </w:tc>
        <w:tc>
          <w:tcPr>
            <w:tcW w:w="1837" w:type="dxa"/>
            <w:vAlign w:val="center"/>
            <w:hideMark/>
          </w:tcPr>
          <w:p w14:paraId="0F4F540F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Double movement</w:t>
            </w:r>
          </w:p>
        </w:tc>
        <w:tc>
          <w:tcPr>
            <w:tcW w:w="1035" w:type="dxa"/>
            <w:vAlign w:val="center"/>
            <w:hideMark/>
          </w:tcPr>
          <w:p w14:paraId="69AC15B5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</w:t>
            </w:r>
          </w:p>
        </w:tc>
        <w:tc>
          <w:tcPr>
            <w:tcW w:w="2379" w:type="dxa"/>
            <w:vAlign w:val="center"/>
            <w:hideMark/>
          </w:tcPr>
          <w:p w14:paraId="09C9B1AD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₹1000 × 0.02 = ₹20</w:t>
            </w:r>
          </w:p>
        </w:tc>
        <w:tc>
          <w:tcPr>
            <w:tcW w:w="1955" w:type="dxa"/>
            <w:vAlign w:val="center"/>
            <w:hideMark/>
          </w:tcPr>
          <w:p w14:paraId="19B1E31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 / ₹20</w:t>
            </w:r>
          </w:p>
        </w:tc>
        <w:tc>
          <w:tcPr>
            <w:tcW w:w="1839" w:type="dxa"/>
            <w:vAlign w:val="center"/>
            <w:hideMark/>
          </w:tcPr>
          <w:p w14:paraId="58608C8A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 shares</w:t>
            </w:r>
          </w:p>
        </w:tc>
        <w:tc>
          <w:tcPr>
            <w:tcW w:w="2989" w:type="dxa"/>
            <w:vAlign w:val="center"/>
            <w:hideMark/>
          </w:tcPr>
          <w:p w14:paraId="0AFC7F06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Market moving fast → reduce exposure</w:t>
            </w:r>
          </w:p>
        </w:tc>
      </w:tr>
      <w:tr w:rsidR="00257EFB" w:rsidRPr="00EB2FF2" w14:paraId="17218203" w14:textId="77777777" w:rsidTr="00257EFB">
        <w:trPr>
          <w:tblCellSpacing w:w="15" w:type="dxa"/>
        </w:trPr>
        <w:tc>
          <w:tcPr>
            <w:tcW w:w="988" w:type="dxa"/>
            <w:vAlign w:val="center"/>
            <w:hideMark/>
          </w:tcPr>
          <w:p w14:paraId="40E032E8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Low Volatility</w:t>
            </w:r>
          </w:p>
        </w:tc>
        <w:tc>
          <w:tcPr>
            <w:tcW w:w="1078" w:type="dxa"/>
            <w:vAlign w:val="center"/>
            <w:hideMark/>
          </w:tcPr>
          <w:p w14:paraId="740DD0A9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Market calm</w:t>
            </w:r>
          </w:p>
        </w:tc>
        <w:tc>
          <w:tcPr>
            <w:tcW w:w="988" w:type="dxa"/>
            <w:vAlign w:val="center"/>
            <w:hideMark/>
          </w:tcPr>
          <w:p w14:paraId="510AD031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0.5%</w:t>
            </w:r>
          </w:p>
        </w:tc>
        <w:tc>
          <w:tcPr>
            <w:tcW w:w="1837" w:type="dxa"/>
            <w:vAlign w:val="center"/>
            <w:hideMark/>
          </w:tcPr>
          <w:p w14:paraId="26E1B7C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Small moves</w:t>
            </w:r>
          </w:p>
        </w:tc>
        <w:tc>
          <w:tcPr>
            <w:tcW w:w="1035" w:type="dxa"/>
            <w:vAlign w:val="center"/>
            <w:hideMark/>
          </w:tcPr>
          <w:p w14:paraId="5A191112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</w:t>
            </w:r>
          </w:p>
        </w:tc>
        <w:tc>
          <w:tcPr>
            <w:tcW w:w="2379" w:type="dxa"/>
            <w:vAlign w:val="center"/>
            <w:hideMark/>
          </w:tcPr>
          <w:p w14:paraId="0EB0C90B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₹1000 × 0.005 = ₹5</w:t>
            </w:r>
          </w:p>
        </w:tc>
        <w:tc>
          <w:tcPr>
            <w:tcW w:w="1955" w:type="dxa"/>
            <w:vAlign w:val="center"/>
            <w:hideMark/>
          </w:tcPr>
          <w:p w14:paraId="2F1D54E2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 / ₹5</w:t>
            </w:r>
          </w:p>
        </w:tc>
        <w:tc>
          <w:tcPr>
            <w:tcW w:w="1839" w:type="dxa"/>
            <w:vAlign w:val="center"/>
            <w:hideMark/>
          </w:tcPr>
          <w:p w14:paraId="134E2A3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 shares</w:t>
            </w:r>
          </w:p>
        </w:tc>
        <w:tc>
          <w:tcPr>
            <w:tcW w:w="2989" w:type="dxa"/>
            <w:vAlign w:val="center"/>
            <w:hideMark/>
          </w:tcPr>
          <w:p w14:paraId="38B51CE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Market steady → increase size</w:t>
            </w:r>
          </w:p>
        </w:tc>
      </w:tr>
      <w:tr w:rsidR="00257EFB" w:rsidRPr="00EB2FF2" w14:paraId="52237A1C" w14:textId="77777777" w:rsidTr="00257EFB">
        <w:trPr>
          <w:tblCellSpacing w:w="15" w:type="dxa"/>
        </w:trPr>
        <w:tc>
          <w:tcPr>
            <w:tcW w:w="988" w:type="dxa"/>
            <w:vAlign w:val="center"/>
            <w:hideMark/>
          </w:tcPr>
          <w:p w14:paraId="7B856F4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Calm</w:t>
            </w:r>
          </w:p>
        </w:tc>
        <w:tc>
          <w:tcPr>
            <w:tcW w:w="1078" w:type="dxa"/>
            <w:vAlign w:val="center"/>
            <w:hideMark/>
          </w:tcPr>
          <w:p w14:paraId="4909D30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Flat phase</w:t>
            </w:r>
          </w:p>
        </w:tc>
        <w:tc>
          <w:tcPr>
            <w:tcW w:w="988" w:type="dxa"/>
            <w:vAlign w:val="center"/>
            <w:hideMark/>
          </w:tcPr>
          <w:p w14:paraId="18F07E72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0.25%</w:t>
            </w:r>
          </w:p>
        </w:tc>
        <w:tc>
          <w:tcPr>
            <w:tcW w:w="1837" w:type="dxa"/>
            <w:vAlign w:val="center"/>
            <w:hideMark/>
          </w:tcPr>
          <w:p w14:paraId="5D2F8DEA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Tiny moves</w:t>
            </w:r>
          </w:p>
        </w:tc>
        <w:tc>
          <w:tcPr>
            <w:tcW w:w="1035" w:type="dxa"/>
            <w:vAlign w:val="center"/>
            <w:hideMark/>
          </w:tcPr>
          <w:p w14:paraId="1332B150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</w:t>
            </w:r>
          </w:p>
        </w:tc>
        <w:tc>
          <w:tcPr>
            <w:tcW w:w="2379" w:type="dxa"/>
            <w:vAlign w:val="center"/>
            <w:hideMark/>
          </w:tcPr>
          <w:p w14:paraId="1AC9136B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₹1000 × 0.0025 = ₹2.5</w:t>
            </w:r>
          </w:p>
        </w:tc>
        <w:tc>
          <w:tcPr>
            <w:tcW w:w="1955" w:type="dxa"/>
            <w:vAlign w:val="center"/>
            <w:hideMark/>
          </w:tcPr>
          <w:p w14:paraId="2EFAC30B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 / ₹2.5</w:t>
            </w:r>
          </w:p>
        </w:tc>
        <w:tc>
          <w:tcPr>
            <w:tcW w:w="1839" w:type="dxa"/>
            <w:vAlign w:val="center"/>
            <w:hideMark/>
          </w:tcPr>
          <w:p w14:paraId="6519484C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200 shares</w:t>
            </w:r>
          </w:p>
        </w:tc>
        <w:tc>
          <w:tcPr>
            <w:tcW w:w="2989" w:type="dxa"/>
            <w:vAlign w:val="center"/>
            <w:hideMark/>
          </w:tcPr>
          <w:p w14:paraId="15F77A82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Very low noise → large position</w:t>
            </w:r>
          </w:p>
        </w:tc>
      </w:tr>
      <w:tr w:rsidR="00257EFB" w:rsidRPr="00EB2FF2" w14:paraId="083D4CE8" w14:textId="77777777" w:rsidTr="00257EFB">
        <w:trPr>
          <w:tblCellSpacing w:w="15" w:type="dxa"/>
        </w:trPr>
        <w:tc>
          <w:tcPr>
            <w:tcW w:w="988" w:type="dxa"/>
            <w:vAlign w:val="center"/>
            <w:hideMark/>
          </w:tcPr>
          <w:p w14:paraId="36105672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Very Volatile</w:t>
            </w:r>
          </w:p>
        </w:tc>
        <w:tc>
          <w:tcPr>
            <w:tcW w:w="1078" w:type="dxa"/>
            <w:vAlign w:val="center"/>
            <w:hideMark/>
          </w:tcPr>
          <w:p w14:paraId="2BD117D3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Turbulent phase</w:t>
            </w:r>
          </w:p>
        </w:tc>
        <w:tc>
          <w:tcPr>
            <w:tcW w:w="988" w:type="dxa"/>
            <w:vAlign w:val="center"/>
            <w:hideMark/>
          </w:tcPr>
          <w:p w14:paraId="0F8BCD47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4%</w:t>
            </w:r>
          </w:p>
        </w:tc>
        <w:tc>
          <w:tcPr>
            <w:tcW w:w="1837" w:type="dxa"/>
            <w:vAlign w:val="center"/>
            <w:hideMark/>
          </w:tcPr>
          <w:p w14:paraId="014EC52F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Huge swings</w:t>
            </w:r>
          </w:p>
        </w:tc>
        <w:tc>
          <w:tcPr>
            <w:tcW w:w="1035" w:type="dxa"/>
            <w:vAlign w:val="center"/>
            <w:hideMark/>
          </w:tcPr>
          <w:p w14:paraId="083ECC3D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</w:t>
            </w:r>
          </w:p>
        </w:tc>
        <w:tc>
          <w:tcPr>
            <w:tcW w:w="2379" w:type="dxa"/>
            <w:vAlign w:val="center"/>
            <w:hideMark/>
          </w:tcPr>
          <w:p w14:paraId="6C2DE266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₹1000 × 0.04 = ₹40</w:t>
            </w:r>
          </w:p>
        </w:tc>
        <w:tc>
          <w:tcPr>
            <w:tcW w:w="1955" w:type="dxa"/>
            <w:vAlign w:val="center"/>
            <w:hideMark/>
          </w:tcPr>
          <w:p w14:paraId="375363A2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₹500 / ₹40</w:t>
            </w:r>
          </w:p>
        </w:tc>
        <w:tc>
          <w:tcPr>
            <w:tcW w:w="1839" w:type="dxa"/>
            <w:vAlign w:val="center"/>
            <w:hideMark/>
          </w:tcPr>
          <w:p w14:paraId="15220C01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 shares</w:t>
            </w:r>
          </w:p>
        </w:tc>
        <w:tc>
          <w:tcPr>
            <w:tcW w:w="2989" w:type="dxa"/>
            <w:vAlign w:val="center"/>
            <w:hideMark/>
          </w:tcPr>
          <w:p w14:paraId="56334725" w14:textId="77777777" w:rsidR="00EB2FF2" w:rsidRPr="00EB2FF2" w:rsidRDefault="00EB2FF2" w:rsidP="00EB2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FF2">
              <w:rPr>
                <w:rFonts w:ascii="Times New Roman" w:hAnsi="Times New Roman" w:cs="Times New Roman"/>
                <w:sz w:val="24"/>
                <w:szCs w:val="24"/>
              </w:rPr>
              <w:t>Extreme volatility → protect capital</w:t>
            </w:r>
          </w:p>
        </w:tc>
      </w:tr>
    </w:tbl>
    <w:p w14:paraId="51FC1127" w14:textId="77777777" w:rsidR="00EB2FF2" w:rsidRDefault="00EB2FF2" w:rsidP="00EB2FF2">
      <w:pPr>
        <w:rPr>
          <w:rFonts w:ascii="Times New Roman" w:hAnsi="Times New Roman" w:cs="Times New Roman"/>
          <w:sz w:val="24"/>
          <w:szCs w:val="24"/>
        </w:rPr>
      </w:pPr>
    </w:p>
    <w:p w14:paraId="51D3D80B" w14:textId="77777777" w:rsidR="000E06A8" w:rsidRDefault="000E06A8" w:rsidP="00EB2FF2">
      <w:pPr>
        <w:rPr>
          <w:rFonts w:ascii="Times New Roman" w:hAnsi="Times New Roman" w:cs="Times New Roman"/>
          <w:sz w:val="24"/>
          <w:szCs w:val="24"/>
        </w:rPr>
      </w:pPr>
    </w:p>
    <w:p w14:paraId="65A72C70" w14:textId="77777777" w:rsidR="000E06A8" w:rsidRDefault="000E06A8" w:rsidP="00EB2FF2">
      <w:pPr>
        <w:rPr>
          <w:rFonts w:ascii="Times New Roman" w:hAnsi="Times New Roman" w:cs="Times New Roman"/>
          <w:sz w:val="24"/>
          <w:szCs w:val="24"/>
        </w:rPr>
      </w:pPr>
    </w:p>
    <w:p w14:paraId="55165CA5" w14:textId="77777777" w:rsidR="000E06A8" w:rsidRPr="000E06A8" w:rsidRDefault="000E06A8" w:rsidP="000E06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06A8">
        <w:rPr>
          <w:rFonts w:ascii="Times New Roman" w:hAnsi="Times New Roman" w:cs="Times New Roman"/>
          <w:b/>
          <w:bCs/>
          <w:sz w:val="24"/>
          <w:szCs w:val="24"/>
        </w:rPr>
        <w:t>Step-by-step for the Base Case (vol = 1%)</w:t>
      </w:r>
    </w:p>
    <w:p w14:paraId="55ED17AE" w14:textId="77777777" w:rsidR="000E06A8" w:rsidRPr="000E06A8" w:rsidRDefault="000E06A8" w:rsidP="000E06A8">
      <w:pPr>
        <w:rPr>
          <w:rFonts w:ascii="Times New Roman" w:hAnsi="Times New Roman" w:cs="Times New Roman"/>
          <w:sz w:val="24"/>
          <w:szCs w:val="24"/>
        </w:rPr>
      </w:pPr>
      <w:r w:rsidRPr="000E06A8">
        <w:rPr>
          <w:rFonts w:ascii="Times New Roman" w:hAnsi="Times New Roman" w:cs="Times New Roman"/>
          <w:sz w:val="24"/>
          <w:szCs w:val="24"/>
        </w:rPr>
        <w:t>1️</w:t>
      </w:r>
      <w:r w:rsidRPr="000E06A8">
        <w:rPr>
          <w:rFonts w:ascii="Segoe UI Symbol" w:hAnsi="Segoe UI Symbol" w:cs="Segoe UI Symbol"/>
          <w:sz w:val="24"/>
          <w:szCs w:val="24"/>
        </w:rPr>
        <w:t>⃣</w:t>
      </w:r>
      <w:r w:rsidRPr="000E06A8">
        <w:rPr>
          <w:rFonts w:ascii="Times New Roman" w:hAnsi="Times New Roman" w:cs="Times New Roman"/>
          <w:sz w:val="24"/>
          <w:szCs w:val="24"/>
        </w:rPr>
        <w:t xml:space="preserve"> Capital = ₹100,000</w:t>
      </w:r>
      <w:r w:rsidRPr="000E06A8">
        <w:rPr>
          <w:rFonts w:ascii="Times New Roman" w:hAnsi="Times New Roman" w:cs="Times New Roman"/>
          <w:sz w:val="24"/>
          <w:szCs w:val="24"/>
        </w:rPr>
        <w:br/>
        <w:t>2️</w:t>
      </w:r>
      <w:r w:rsidRPr="000E06A8">
        <w:rPr>
          <w:rFonts w:ascii="Segoe UI Symbol" w:hAnsi="Segoe UI Symbol" w:cs="Segoe UI Symbol"/>
          <w:sz w:val="24"/>
          <w:szCs w:val="24"/>
        </w:rPr>
        <w:t>⃣</w:t>
      </w:r>
      <w:r w:rsidRPr="000E06A8">
        <w:rPr>
          <w:rFonts w:ascii="Times New Roman" w:hAnsi="Times New Roman" w:cs="Times New Roman"/>
          <w:sz w:val="24"/>
          <w:szCs w:val="24"/>
        </w:rPr>
        <w:t xml:space="preserve"> Risk per trade = 0.5% × ₹100,000 = ₹500</w:t>
      </w:r>
      <w:r w:rsidRPr="000E06A8">
        <w:rPr>
          <w:rFonts w:ascii="Times New Roman" w:hAnsi="Times New Roman" w:cs="Times New Roman"/>
          <w:sz w:val="24"/>
          <w:szCs w:val="24"/>
        </w:rPr>
        <w:br/>
        <w:t>3️</w:t>
      </w:r>
      <w:r w:rsidRPr="000E06A8">
        <w:rPr>
          <w:rFonts w:ascii="Segoe UI Symbol" w:hAnsi="Segoe UI Symbol" w:cs="Segoe UI Symbol"/>
          <w:sz w:val="24"/>
          <w:szCs w:val="24"/>
        </w:rPr>
        <w:t>⃣</w:t>
      </w:r>
      <w:r w:rsidRPr="000E06A8">
        <w:rPr>
          <w:rFonts w:ascii="Times New Roman" w:hAnsi="Times New Roman" w:cs="Times New Roman"/>
          <w:sz w:val="24"/>
          <w:szCs w:val="24"/>
        </w:rPr>
        <w:t xml:space="preserve"> Forecast volatility = 1% (from GARCH)</w:t>
      </w:r>
      <w:r w:rsidRPr="000E06A8">
        <w:rPr>
          <w:rFonts w:ascii="Times New Roman" w:hAnsi="Times New Roman" w:cs="Times New Roman"/>
          <w:sz w:val="24"/>
          <w:szCs w:val="24"/>
        </w:rPr>
        <w:br/>
        <w:t>4️</w:t>
      </w:r>
      <w:r w:rsidRPr="000E06A8">
        <w:rPr>
          <w:rFonts w:ascii="Segoe UI Symbol" w:hAnsi="Segoe UI Symbol" w:cs="Segoe UI Symbol"/>
          <w:sz w:val="24"/>
          <w:szCs w:val="24"/>
        </w:rPr>
        <w:t>⃣</w:t>
      </w:r>
      <w:r w:rsidRPr="000E06A8">
        <w:rPr>
          <w:rFonts w:ascii="Times New Roman" w:hAnsi="Times New Roman" w:cs="Times New Roman"/>
          <w:sz w:val="24"/>
          <w:szCs w:val="24"/>
        </w:rPr>
        <w:t xml:space="preserve"> Price per share = ₹1000</w:t>
      </w:r>
      <w:r w:rsidRPr="000E06A8">
        <w:rPr>
          <w:rFonts w:ascii="Times New Roman" w:hAnsi="Times New Roman" w:cs="Times New Roman"/>
          <w:sz w:val="24"/>
          <w:szCs w:val="24"/>
        </w:rPr>
        <w:br/>
        <w:t>5️</w:t>
      </w:r>
      <w:r w:rsidRPr="000E06A8">
        <w:rPr>
          <w:rFonts w:ascii="Segoe UI Symbol" w:hAnsi="Segoe UI Symbol" w:cs="Segoe UI Symbol"/>
          <w:sz w:val="24"/>
          <w:szCs w:val="24"/>
        </w:rPr>
        <w:t>⃣</w:t>
      </w:r>
      <w:r w:rsidRPr="000E06A8">
        <w:rPr>
          <w:rFonts w:ascii="Times New Roman" w:hAnsi="Times New Roman" w:cs="Times New Roman"/>
          <w:sz w:val="24"/>
          <w:szCs w:val="24"/>
        </w:rPr>
        <w:t xml:space="preserve"> Per-share fluctuation = ₹1000 × 1% = ₹10</w:t>
      </w:r>
      <w:r w:rsidRPr="000E06A8">
        <w:rPr>
          <w:rFonts w:ascii="Times New Roman" w:hAnsi="Times New Roman" w:cs="Times New Roman"/>
          <w:sz w:val="24"/>
          <w:szCs w:val="24"/>
        </w:rPr>
        <w:br/>
        <w:t>6️</w:t>
      </w:r>
      <w:r w:rsidRPr="000E06A8">
        <w:rPr>
          <w:rFonts w:ascii="Segoe UI Symbol" w:hAnsi="Segoe UI Symbol" w:cs="Segoe UI Symbol"/>
          <w:sz w:val="24"/>
          <w:szCs w:val="24"/>
        </w:rPr>
        <w:t>⃣</w:t>
      </w:r>
      <w:r w:rsidRPr="000E06A8">
        <w:rPr>
          <w:rFonts w:ascii="Times New Roman" w:hAnsi="Times New Roman" w:cs="Times New Roman"/>
          <w:sz w:val="24"/>
          <w:szCs w:val="24"/>
        </w:rPr>
        <w:t xml:space="preserve"> Shares = ₹500 ÷ ₹10 = </w:t>
      </w:r>
      <w:r w:rsidRPr="000E06A8">
        <w:rPr>
          <w:rFonts w:ascii="Times New Roman" w:hAnsi="Times New Roman" w:cs="Times New Roman"/>
          <w:b/>
          <w:bCs/>
          <w:sz w:val="24"/>
          <w:szCs w:val="24"/>
        </w:rPr>
        <w:t>50 shares</w:t>
      </w:r>
    </w:p>
    <w:p w14:paraId="03B26414" w14:textId="77777777" w:rsidR="000E06A8" w:rsidRDefault="000E06A8" w:rsidP="000E06A8">
      <w:pPr>
        <w:rPr>
          <w:rFonts w:ascii="Times New Roman" w:hAnsi="Times New Roman" w:cs="Times New Roman"/>
          <w:sz w:val="24"/>
          <w:szCs w:val="24"/>
        </w:rPr>
      </w:pPr>
      <w:r w:rsidRPr="000E06A8">
        <w:rPr>
          <w:rFonts w:ascii="Segoe UI Emoji" w:hAnsi="Segoe UI Emoji" w:cs="Segoe UI Emoji"/>
          <w:sz w:val="24"/>
          <w:szCs w:val="24"/>
        </w:rPr>
        <w:t>✅</w:t>
      </w:r>
      <w:r w:rsidRPr="000E06A8">
        <w:rPr>
          <w:rFonts w:ascii="Times New Roman" w:hAnsi="Times New Roman" w:cs="Times New Roman"/>
          <w:sz w:val="24"/>
          <w:szCs w:val="24"/>
        </w:rPr>
        <w:t xml:space="preserve"> So your algo buys 50 shares — it’s risking ₹500 if price moves roughly 1% against it.</w:t>
      </w:r>
    </w:p>
    <w:p w14:paraId="2A5120EB" w14:textId="77777777" w:rsidR="000E06A8" w:rsidRDefault="000E06A8" w:rsidP="000E06A8">
      <w:pPr>
        <w:rPr>
          <w:rFonts w:ascii="Times New Roman" w:hAnsi="Times New Roman" w:cs="Times New Roman"/>
          <w:sz w:val="24"/>
          <w:szCs w:val="24"/>
        </w:rPr>
      </w:pPr>
    </w:p>
    <w:p w14:paraId="40735BEF" w14:textId="6A28741D" w:rsidR="004A1E60" w:rsidRPr="00D44B71" w:rsidRDefault="00A91BA9" w:rsidP="00A91B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44B71">
        <w:rPr>
          <w:rFonts w:ascii="Times New Roman" w:hAnsi="Times New Roman" w:cs="Times New Roman"/>
          <w:b/>
          <w:bCs/>
          <w:sz w:val="24"/>
          <w:szCs w:val="24"/>
        </w:rPr>
        <w:t>Formula for GARCH</w:t>
      </w:r>
    </w:p>
    <w:p w14:paraId="18CD5FEF" w14:textId="77777777" w:rsidR="00A91BA9" w:rsidRDefault="00A91BA9" w:rsidP="00A91B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057A5" w14:textId="1E5C2F32" w:rsidR="00A91BA9" w:rsidRDefault="00D44B71" w:rsidP="00A91B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A65C00" wp14:editId="7431321B">
            <wp:extent cx="6913245" cy="2313940"/>
            <wp:effectExtent l="0" t="0" r="1905" b="0"/>
            <wp:docPr id="1044036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24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28F2" w14:textId="77777777" w:rsidR="00A91BA9" w:rsidRDefault="00A91BA9" w:rsidP="000E06A8">
      <w:pPr>
        <w:rPr>
          <w:rFonts w:ascii="Times New Roman" w:hAnsi="Times New Roman" w:cs="Times New Roman"/>
          <w:sz w:val="24"/>
          <w:szCs w:val="24"/>
        </w:rPr>
      </w:pPr>
    </w:p>
    <w:p w14:paraId="5F727930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260F3747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668B7F29" w14:textId="77777777" w:rsidR="00D44B71" w:rsidRDefault="00D44B71" w:rsidP="000E06A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562"/>
        <w:gridCol w:w="7291"/>
        <w:gridCol w:w="3400"/>
      </w:tblGrid>
      <w:tr w:rsidR="00D44B71" w:rsidRPr="00D44B71" w14:paraId="2305477A" w14:textId="77777777" w:rsidTr="00D44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CFC80" w14:textId="77777777" w:rsidR="00D44B71" w:rsidRPr="00D44B71" w:rsidRDefault="00D44B71" w:rsidP="00D44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E2F93AB" w14:textId="77777777" w:rsidR="00D44B71" w:rsidRPr="00D44B71" w:rsidRDefault="00D44B71" w:rsidP="00D44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40C070" w14:textId="77777777" w:rsidR="00D44B71" w:rsidRPr="00D44B71" w:rsidRDefault="00D44B71" w:rsidP="00D44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 / Intuition</w:t>
            </w:r>
          </w:p>
        </w:tc>
        <w:tc>
          <w:tcPr>
            <w:tcW w:w="0" w:type="auto"/>
            <w:vAlign w:val="center"/>
            <w:hideMark/>
          </w:tcPr>
          <w:p w14:paraId="3923872B" w14:textId="77777777" w:rsidR="00D44B71" w:rsidRPr="00D44B71" w:rsidRDefault="00D44B71" w:rsidP="00D44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Range</w:t>
            </w:r>
          </w:p>
        </w:tc>
      </w:tr>
      <w:tr w:rsidR="00D44B71" w:rsidRPr="00D44B71" w14:paraId="5F1B62F5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D868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Pₜ</w:t>
            </w:r>
          </w:p>
        </w:tc>
        <w:tc>
          <w:tcPr>
            <w:tcW w:w="0" w:type="auto"/>
            <w:vAlign w:val="center"/>
            <w:hideMark/>
          </w:tcPr>
          <w:p w14:paraId="6EE1D363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Price at time </w:t>
            </w:r>
            <w:r w:rsidRPr="00D44B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8777359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Latest market price (e.g., closing price of a candle or tick)</w:t>
            </w:r>
          </w:p>
        </w:tc>
        <w:tc>
          <w:tcPr>
            <w:tcW w:w="0" w:type="auto"/>
            <w:vAlign w:val="center"/>
            <w:hideMark/>
          </w:tcPr>
          <w:p w14:paraId="49911D3C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₹1000, ₹1010, etc.</w:t>
            </w:r>
          </w:p>
        </w:tc>
      </w:tr>
      <w:tr w:rsidR="00D44B71" w:rsidRPr="00D44B71" w14:paraId="5AD83A01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3AE1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rₜ</w:t>
            </w:r>
          </w:p>
        </w:tc>
        <w:tc>
          <w:tcPr>
            <w:tcW w:w="0" w:type="auto"/>
            <w:vAlign w:val="center"/>
            <w:hideMark/>
          </w:tcPr>
          <w:p w14:paraId="5BCF9677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Simple return</w:t>
            </w:r>
          </w:p>
        </w:tc>
        <w:tc>
          <w:tcPr>
            <w:tcW w:w="0" w:type="auto"/>
            <w:vAlign w:val="center"/>
            <w:hideMark/>
          </w:tcPr>
          <w:p w14:paraId="45CC2D12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The % price change from previous period: ( (Pₜ - Pₜ₋₁) / Pₜ₋₁ )</w:t>
            </w:r>
          </w:p>
        </w:tc>
        <w:tc>
          <w:tcPr>
            <w:tcW w:w="0" w:type="auto"/>
            <w:vAlign w:val="center"/>
            <w:hideMark/>
          </w:tcPr>
          <w:p w14:paraId="44E9DD36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+0.01 (1%) or -0.005 (-0.5%)</w:t>
            </w:r>
          </w:p>
        </w:tc>
      </w:tr>
      <w:tr w:rsidR="00D44B71" w:rsidRPr="00D44B71" w14:paraId="00986DE3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62CF4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εₜ</w:t>
            </w:r>
          </w:p>
        </w:tc>
        <w:tc>
          <w:tcPr>
            <w:tcW w:w="0" w:type="auto"/>
            <w:vAlign w:val="center"/>
            <w:hideMark/>
          </w:tcPr>
          <w:p w14:paraId="1D675865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Shock (innovation)</w:t>
            </w:r>
          </w:p>
        </w:tc>
        <w:tc>
          <w:tcPr>
            <w:tcW w:w="0" w:type="auto"/>
            <w:vAlign w:val="center"/>
            <w:hideMark/>
          </w:tcPr>
          <w:p w14:paraId="20B6E6AC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The “surprise” or deviation in return — how far it moved unexpectedly</w:t>
            </w:r>
          </w:p>
        </w:tc>
        <w:tc>
          <w:tcPr>
            <w:tcW w:w="0" w:type="auto"/>
            <w:vAlign w:val="center"/>
            <w:hideMark/>
          </w:tcPr>
          <w:p w14:paraId="23BC0F01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Usually same as </w:t>
            </w:r>
            <w:r w:rsidRPr="00D44B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rₜ</w:t>
            </w: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 if mean ≈ 0</w:t>
            </w:r>
          </w:p>
        </w:tc>
      </w:tr>
      <w:tr w:rsidR="00D44B71" w:rsidRPr="00D44B71" w14:paraId="226FF11A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4CBE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εₜ²</w:t>
            </w:r>
          </w:p>
        </w:tc>
        <w:tc>
          <w:tcPr>
            <w:tcW w:w="0" w:type="auto"/>
            <w:vAlign w:val="center"/>
            <w:hideMark/>
          </w:tcPr>
          <w:p w14:paraId="3CD90677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Squared shock</w:t>
            </w:r>
          </w:p>
        </w:tc>
        <w:tc>
          <w:tcPr>
            <w:tcW w:w="0" w:type="auto"/>
            <w:vAlign w:val="center"/>
            <w:hideMark/>
          </w:tcPr>
          <w:p w14:paraId="6CD9E8C2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D44B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magnitude</w:t>
            </w: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 of volatility in that period; large ε² = strong move</w:t>
            </w:r>
          </w:p>
        </w:tc>
        <w:tc>
          <w:tcPr>
            <w:tcW w:w="0" w:type="auto"/>
            <w:vAlign w:val="center"/>
            <w:hideMark/>
          </w:tcPr>
          <w:p w14:paraId="7EC33908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Always positive (e.g., 0.0001 = 1%²)</w:t>
            </w:r>
          </w:p>
        </w:tc>
      </w:tr>
      <w:tr w:rsidR="00D44B71" w:rsidRPr="00D44B71" w14:paraId="43029B12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3C66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σₜ²</w:t>
            </w:r>
          </w:p>
        </w:tc>
        <w:tc>
          <w:tcPr>
            <w:tcW w:w="0" w:type="auto"/>
            <w:vAlign w:val="center"/>
            <w:hideMark/>
          </w:tcPr>
          <w:p w14:paraId="67F6F99B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08D2A660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The predicted volatility level for time </w:t>
            </w:r>
            <w:r w:rsidRPr="00D44B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 (average squared deviation)</w:t>
            </w:r>
          </w:p>
        </w:tc>
        <w:tc>
          <w:tcPr>
            <w:tcW w:w="0" w:type="auto"/>
            <w:vAlign w:val="center"/>
            <w:hideMark/>
          </w:tcPr>
          <w:p w14:paraId="1445560B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0.00009 ≈ (0.95%)²</w:t>
            </w:r>
          </w:p>
        </w:tc>
      </w:tr>
      <w:tr w:rsidR="00D44B71" w:rsidRPr="00D44B71" w14:paraId="0E699789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C86C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σₜ</w:t>
            </w:r>
          </w:p>
        </w:tc>
        <w:tc>
          <w:tcPr>
            <w:tcW w:w="0" w:type="auto"/>
            <w:vAlign w:val="center"/>
            <w:hideMark/>
          </w:tcPr>
          <w:p w14:paraId="6A2CAAA1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Standard deviation (volatility forecast)</w:t>
            </w:r>
          </w:p>
        </w:tc>
        <w:tc>
          <w:tcPr>
            <w:tcW w:w="0" w:type="auto"/>
            <w:vAlign w:val="center"/>
            <w:hideMark/>
          </w:tcPr>
          <w:p w14:paraId="4E9AC2B2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D44B7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per-candle or per-period volatility</w:t>
            </w: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 forecast by the model</w:t>
            </w:r>
          </w:p>
        </w:tc>
        <w:tc>
          <w:tcPr>
            <w:tcW w:w="0" w:type="auto"/>
            <w:vAlign w:val="center"/>
            <w:hideMark/>
          </w:tcPr>
          <w:p w14:paraId="222C0932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0.0095 → 0.95%</w:t>
            </w:r>
          </w:p>
        </w:tc>
      </w:tr>
      <w:tr w:rsidR="00D44B71" w:rsidRPr="00D44B71" w14:paraId="16F3F6C3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2A7B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ω (omega)</w:t>
            </w:r>
          </w:p>
        </w:tc>
        <w:tc>
          <w:tcPr>
            <w:tcW w:w="0" w:type="auto"/>
            <w:vAlign w:val="center"/>
            <w:hideMark/>
          </w:tcPr>
          <w:p w14:paraId="56555DA4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Constant term</w:t>
            </w:r>
          </w:p>
        </w:tc>
        <w:tc>
          <w:tcPr>
            <w:tcW w:w="0" w:type="auto"/>
            <w:vAlign w:val="center"/>
            <w:hideMark/>
          </w:tcPr>
          <w:p w14:paraId="23F635D2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Long-run base variance (the volatility floor even if market is calm)</w:t>
            </w:r>
          </w:p>
        </w:tc>
        <w:tc>
          <w:tcPr>
            <w:tcW w:w="0" w:type="auto"/>
            <w:vAlign w:val="center"/>
            <w:hideMark/>
          </w:tcPr>
          <w:p w14:paraId="377B7994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0.000001 (≈ 0.1%²)</w:t>
            </w:r>
          </w:p>
        </w:tc>
      </w:tr>
      <w:tr w:rsidR="00D44B71" w:rsidRPr="00D44B71" w14:paraId="47F041CC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6212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α (alpha)</w:t>
            </w:r>
          </w:p>
        </w:tc>
        <w:tc>
          <w:tcPr>
            <w:tcW w:w="0" w:type="auto"/>
            <w:vAlign w:val="center"/>
            <w:hideMark/>
          </w:tcPr>
          <w:p w14:paraId="62150E19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Reaction coefficient</w:t>
            </w:r>
          </w:p>
        </w:tc>
        <w:tc>
          <w:tcPr>
            <w:tcW w:w="0" w:type="auto"/>
            <w:vAlign w:val="center"/>
            <w:hideMark/>
          </w:tcPr>
          <w:p w14:paraId="5CCAD2CF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Sensitivity to </w:t>
            </w: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recent shocks</w:t>
            </w: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 — how much weight is given to yesterday’s surprise</w:t>
            </w:r>
          </w:p>
        </w:tc>
        <w:tc>
          <w:tcPr>
            <w:tcW w:w="0" w:type="auto"/>
            <w:vAlign w:val="center"/>
            <w:hideMark/>
          </w:tcPr>
          <w:p w14:paraId="6C064775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Typically 0.05 – 0.15</w:t>
            </w:r>
          </w:p>
        </w:tc>
      </w:tr>
      <w:tr w:rsidR="00D44B71" w:rsidRPr="00D44B71" w14:paraId="36DFE8EF" w14:textId="77777777" w:rsidTr="00D44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1755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β (beta)</w:t>
            </w:r>
          </w:p>
        </w:tc>
        <w:tc>
          <w:tcPr>
            <w:tcW w:w="0" w:type="auto"/>
            <w:vAlign w:val="center"/>
            <w:hideMark/>
          </w:tcPr>
          <w:p w14:paraId="48A10B1E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Persistence coefficient</w:t>
            </w:r>
          </w:p>
        </w:tc>
        <w:tc>
          <w:tcPr>
            <w:tcW w:w="0" w:type="auto"/>
            <w:vAlign w:val="center"/>
            <w:hideMark/>
          </w:tcPr>
          <w:p w14:paraId="653465AC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Memory of </w:t>
            </w:r>
            <w:r w:rsidRPr="00D44B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past volatility</w:t>
            </w: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 xml:space="preserve"> — how slow or fast volatility decays over time</w:t>
            </w:r>
          </w:p>
        </w:tc>
        <w:tc>
          <w:tcPr>
            <w:tcW w:w="0" w:type="auto"/>
            <w:vAlign w:val="center"/>
            <w:hideMark/>
          </w:tcPr>
          <w:p w14:paraId="262D6747" w14:textId="77777777" w:rsidR="00D44B71" w:rsidRPr="00D44B71" w:rsidRDefault="00D44B71" w:rsidP="00D44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4B71">
              <w:rPr>
                <w:rFonts w:ascii="Times New Roman" w:hAnsi="Times New Roman" w:cs="Times New Roman"/>
                <w:sz w:val="24"/>
                <w:szCs w:val="24"/>
              </w:rPr>
              <w:t>Typically 0.80 – 0.90</w:t>
            </w:r>
          </w:p>
        </w:tc>
      </w:tr>
    </w:tbl>
    <w:p w14:paraId="12DD5227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145AB20C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57CAA74E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3EB6306E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5D746093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12471817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16E0A5B9" w14:textId="77777777" w:rsidR="004A1E60" w:rsidRDefault="004A1E60" w:rsidP="000E06A8">
      <w:pPr>
        <w:rPr>
          <w:rFonts w:ascii="Times New Roman" w:hAnsi="Times New Roman" w:cs="Times New Roman"/>
          <w:sz w:val="24"/>
          <w:szCs w:val="24"/>
        </w:rPr>
      </w:pPr>
    </w:p>
    <w:p w14:paraId="67A6B6C8" w14:textId="61C0AF7A" w:rsidR="00A91BA9" w:rsidRDefault="00A91BA9" w:rsidP="00A91B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91BA9">
        <w:rPr>
          <w:rFonts w:ascii="Times New Roman" w:hAnsi="Times New Roman" w:cs="Times New Roman"/>
          <w:b/>
          <w:bCs/>
          <w:sz w:val="24"/>
          <w:szCs w:val="24"/>
        </w:rPr>
        <w:lastRenderedPageBreak/>
        <w:t>How GARCH Forecast Volatility ?</w:t>
      </w:r>
    </w:p>
    <w:p w14:paraId="2AD02AB1" w14:textId="77777777" w:rsidR="00A91BA9" w:rsidRPr="000E06A8" w:rsidRDefault="00A91BA9" w:rsidP="00A91BA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031"/>
        <w:gridCol w:w="1601"/>
        <w:gridCol w:w="1679"/>
      </w:tblGrid>
      <w:tr w:rsidR="004A1E60" w:rsidRPr="004A1E60" w14:paraId="0424CE3A" w14:textId="77777777" w:rsidTr="004A1E60">
        <w:trPr>
          <w:tblHeader/>
          <w:tblCellSpacing w:w="15" w:type="dxa"/>
          <w:jc w:val="center"/>
        </w:trPr>
        <w:tc>
          <w:tcPr>
            <w:tcW w:w="1026" w:type="dxa"/>
            <w:vAlign w:val="center"/>
            <w:hideMark/>
          </w:tcPr>
          <w:p w14:paraId="6A36B722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01C8804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(Pₜ)</w:t>
            </w:r>
          </w:p>
        </w:tc>
        <w:tc>
          <w:tcPr>
            <w:tcW w:w="0" w:type="auto"/>
            <w:vAlign w:val="center"/>
            <w:hideMark/>
          </w:tcPr>
          <w:p w14:paraId="719AD42C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(rₜ = εₜ)</w:t>
            </w:r>
          </w:p>
        </w:tc>
        <w:tc>
          <w:tcPr>
            <w:tcW w:w="1634" w:type="dxa"/>
            <w:vAlign w:val="center"/>
            <w:hideMark/>
          </w:tcPr>
          <w:p w14:paraId="5BCA8A34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εₜ² = (rₜ)²</w:t>
            </w:r>
          </w:p>
        </w:tc>
      </w:tr>
      <w:tr w:rsidR="004A1E60" w:rsidRPr="004A1E60" w14:paraId="0B6566C6" w14:textId="77777777" w:rsidTr="004A1E60">
        <w:trPr>
          <w:tblCellSpacing w:w="15" w:type="dxa"/>
          <w:jc w:val="center"/>
        </w:trPr>
        <w:tc>
          <w:tcPr>
            <w:tcW w:w="1026" w:type="dxa"/>
            <w:vAlign w:val="center"/>
            <w:hideMark/>
          </w:tcPr>
          <w:p w14:paraId="130838AD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D7301C4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0178989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634" w:type="dxa"/>
            <w:vAlign w:val="center"/>
            <w:hideMark/>
          </w:tcPr>
          <w:p w14:paraId="2203EB44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4A1E60" w:rsidRPr="004A1E60" w14:paraId="2ACC304F" w14:textId="77777777" w:rsidTr="004A1E60">
        <w:trPr>
          <w:tblCellSpacing w:w="15" w:type="dxa"/>
          <w:jc w:val="center"/>
        </w:trPr>
        <w:tc>
          <w:tcPr>
            <w:tcW w:w="1026" w:type="dxa"/>
            <w:vAlign w:val="center"/>
            <w:hideMark/>
          </w:tcPr>
          <w:p w14:paraId="4C247D97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F2E485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14:paraId="373593EA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0.01000000</w:t>
            </w:r>
          </w:p>
        </w:tc>
        <w:tc>
          <w:tcPr>
            <w:tcW w:w="1634" w:type="dxa"/>
            <w:vAlign w:val="center"/>
            <w:hideMark/>
          </w:tcPr>
          <w:p w14:paraId="1D784A6E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0.00010000</w:t>
            </w:r>
          </w:p>
        </w:tc>
      </w:tr>
      <w:tr w:rsidR="004A1E60" w:rsidRPr="004A1E60" w14:paraId="1610710A" w14:textId="77777777" w:rsidTr="004A1E60">
        <w:trPr>
          <w:tblCellSpacing w:w="15" w:type="dxa"/>
          <w:jc w:val="center"/>
        </w:trPr>
        <w:tc>
          <w:tcPr>
            <w:tcW w:w="1026" w:type="dxa"/>
            <w:vAlign w:val="center"/>
            <w:hideMark/>
          </w:tcPr>
          <w:p w14:paraId="76661213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D058C4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07EA2668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-0.004950495</w:t>
            </w:r>
          </w:p>
        </w:tc>
        <w:tc>
          <w:tcPr>
            <w:tcW w:w="1634" w:type="dxa"/>
            <w:vAlign w:val="center"/>
            <w:hideMark/>
          </w:tcPr>
          <w:p w14:paraId="3CD01708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0.000024505</w:t>
            </w:r>
          </w:p>
        </w:tc>
      </w:tr>
      <w:tr w:rsidR="004A1E60" w:rsidRPr="004A1E60" w14:paraId="6B16AD3A" w14:textId="77777777" w:rsidTr="004A1E60">
        <w:trPr>
          <w:tblCellSpacing w:w="15" w:type="dxa"/>
          <w:jc w:val="center"/>
        </w:trPr>
        <w:tc>
          <w:tcPr>
            <w:tcW w:w="1026" w:type="dxa"/>
            <w:vAlign w:val="center"/>
            <w:hideMark/>
          </w:tcPr>
          <w:p w14:paraId="0FCD4C07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EA4F48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1020</w:t>
            </w:r>
          </w:p>
        </w:tc>
        <w:tc>
          <w:tcPr>
            <w:tcW w:w="0" w:type="auto"/>
            <w:vAlign w:val="center"/>
            <w:hideMark/>
          </w:tcPr>
          <w:p w14:paraId="24F0537A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0.014925373</w:t>
            </w:r>
          </w:p>
        </w:tc>
        <w:tc>
          <w:tcPr>
            <w:tcW w:w="1634" w:type="dxa"/>
            <w:vAlign w:val="center"/>
            <w:hideMark/>
          </w:tcPr>
          <w:p w14:paraId="32BF2C63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0.000222770</w:t>
            </w:r>
          </w:p>
        </w:tc>
      </w:tr>
      <w:tr w:rsidR="004A1E60" w:rsidRPr="004A1E60" w14:paraId="1E6B9225" w14:textId="77777777" w:rsidTr="004A1E60">
        <w:trPr>
          <w:tblCellSpacing w:w="15" w:type="dxa"/>
          <w:jc w:val="center"/>
        </w:trPr>
        <w:tc>
          <w:tcPr>
            <w:tcW w:w="1026" w:type="dxa"/>
            <w:vAlign w:val="center"/>
            <w:hideMark/>
          </w:tcPr>
          <w:p w14:paraId="60006D0D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64639E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1015</w:t>
            </w:r>
          </w:p>
        </w:tc>
        <w:tc>
          <w:tcPr>
            <w:tcW w:w="0" w:type="auto"/>
            <w:vAlign w:val="center"/>
            <w:hideMark/>
          </w:tcPr>
          <w:p w14:paraId="254E5A59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-0.004901961</w:t>
            </w:r>
          </w:p>
        </w:tc>
        <w:tc>
          <w:tcPr>
            <w:tcW w:w="1634" w:type="dxa"/>
            <w:vAlign w:val="center"/>
            <w:hideMark/>
          </w:tcPr>
          <w:p w14:paraId="49ECD9C7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0.000024039</w:t>
            </w:r>
          </w:p>
        </w:tc>
      </w:tr>
      <w:tr w:rsidR="004A1E60" w:rsidRPr="004A1E60" w14:paraId="1380CD3F" w14:textId="77777777" w:rsidTr="004A1E60">
        <w:trPr>
          <w:tblCellSpacing w:w="15" w:type="dxa"/>
          <w:jc w:val="center"/>
        </w:trPr>
        <w:tc>
          <w:tcPr>
            <w:tcW w:w="1026" w:type="dxa"/>
            <w:vAlign w:val="center"/>
            <w:hideMark/>
          </w:tcPr>
          <w:p w14:paraId="1FD249AB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60EFBF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1030</w:t>
            </w:r>
          </w:p>
        </w:tc>
        <w:tc>
          <w:tcPr>
            <w:tcW w:w="0" w:type="auto"/>
            <w:vAlign w:val="center"/>
            <w:hideMark/>
          </w:tcPr>
          <w:p w14:paraId="5EDA6F4A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0.014778325</w:t>
            </w:r>
          </w:p>
        </w:tc>
        <w:tc>
          <w:tcPr>
            <w:tcW w:w="1634" w:type="dxa"/>
            <w:vAlign w:val="center"/>
            <w:hideMark/>
          </w:tcPr>
          <w:p w14:paraId="7CEC6237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0.000218450</w:t>
            </w:r>
          </w:p>
        </w:tc>
      </w:tr>
    </w:tbl>
    <w:p w14:paraId="79C7BB02" w14:textId="77777777" w:rsidR="004A1E60" w:rsidRDefault="004A1E60" w:rsidP="00EB2FF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961"/>
        <w:gridCol w:w="6526"/>
        <w:gridCol w:w="2590"/>
      </w:tblGrid>
      <w:tr w:rsidR="004A1E60" w:rsidRPr="004A1E60" w14:paraId="738550BF" w14:textId="77777777" w:rsidTr="004A1E6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A1FBA5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t</w:t>
            </w:r>
          </w:p>
        </w:tc>
        <w:tc>
          <w:tcPr>
            <w:tcW w:w="0" w:type="auto"/>
            <w:vAlign w:val="center"/>
            <w:hideMark/>
          </w:tcPr>
          <w:p w14:paraId="183FB3B9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εₜ₋₁² (used)</w:t>
            </w:r>
          </w:p>
        </w:tc>
        <w:tc>
          <w:tcPr>
            <w:tcW w:w="0" w:type="auto"/>
            <w:vAlign w:val="center"/>
            <w:hideMark/>
          </w:tcPr>
          <w:p w14:paraId="5EDE7E52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σₜ² = ω + α·εₜ₋₁² + β·σₜ₋₁²</w:t>
            </w:r>
          </w:p>
        </w:tc>
        <w:tc>
          <w:tcPr>
            <w:tcW w:w="0" w:type="auto"/>
            <w:vAlign w:val="center"/>
            <w:hideMark/>
          </w:tcPr>
          <w:p w14:paraId="18A0FFE2" w14:textId="77777777" w:rsidR="004A1E60" w:rsidRPr="004A1E60" w:rsidRDefault="004A1E60" w:rsidP="004A1E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σₜ = √σₜ² (per-candle std)</w:t>
            </w:r>
          </w:p>
        </w:tc>
      </w:tr>
      <w:tr w:rsidR="004A1E60" w:rsidRPr="004A1E60" w14:paraId="4FB2F6FD" w14:textId="77777777" w:rsidTr="004A1E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77B2CF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13A01D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ε₀² = 0.0001000000</w:t>
            </w:r>
          </w:p>
        </w:tc>
        <w:tc>
          <w:tcPr>
            <w:tcW w:w="0" w:type="auto"/>
            <w:vAlign w:val="center"/>
            <w:hideMark/>
          </w:tcPr>
          <w:p w14:paraId="46F26E79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0.000001 + 0.1·0.000100 + 0.85·0.000100 = </w:t>
            </w: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0.0000960000</w:t>
            </w:r>
          </w:p>
        </w:tc>
        <w:tc>
          <w:tcPr>
            <w:tcW w:w="0" w:type="auto"/>
            <w:vAlign w:val="center"/>
            <w:hideMark/>
          </w:tcPr>
          <w:p w14:paraId="5D84EE33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0.009798</w:t>
            </w: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 (0.9798%)</w:t>
            </w:r>
          </w:p>
        </w:tc>
      </w:tr>
      <w:tr w:rsidR="004A1E60" w:rsidRPr="004A1E60" w14:paraId="6D5C5DE7" w14:textId="77777777" w:rsidTr="004A1E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BA274C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824ADA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ε₁² ≈ 0.000024505</w:t>
            </w:r>
          </w:p>
        </w:tc>
        <w:tc>
          <w:tcPr>
            <w:tcW w:w="0" w:type="auto"/>
            <w:vAlign w:val="center"/>
            <w:hideMark/>
          </w:tcPr>
          <w:p w14:paraId="787E6888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0.000001 + 0.1·0.000024505 + 0.85·0.000096000 = </w:t>
            </w: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0.0000850505</w:t>
            </w:r>
          </w:p>
        </w:tc>
        <w:tc>
          <w:tcPr>
            <w:tcW w:w="0" w:type="auto"/>
            <w:vAlign w:val="center"/>
            <w:hideMark/>
          </w:tcPr>
          <w:p w14:paraId="247D135B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0.009220</w:t>
            </w: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 (0.9220%)</w:t>
            </w:r>
          </w:p>
        </w:tc>
      </w:tr>
      <w:tr w:rsidR="004A1E60" w:rsidRPr="004A1E60" w14:paraId="283ED091" w14:textId="77777777" w:rsidTr="004A1E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8B4A93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B8B35A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ε₂² ≈ 0.000222770</w:t>
            </w:r>
          </w:p>
        </w:tc>
        <w:tc>
          <w:tcPr>
            <w:tcW w:w="0" w:type="auto"/>
            <w:vAlign w:val="center"/>
            <w:hideMark/>
          </w:tcPr>
          <w:p w14:paraId="3DC58E9D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0.000001 + 0.1·0.00022277 + 0.85·0.0000850505 = </w:t>
            </w: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0.0000955700</w:t>
            </w:r>
          </w:p>
        </w:tc>
        <w:tc>
          <w:tcPr>
            <w:tcW w:w="0" w:type="auto"/>
            <w:vAlign w:val="center"/>
            <w:hideMark/>
          </w:tcPr>
          <w:p w14:paraId="5EFCEDE2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0.009777</w:t>
            </w: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 (0.9777%)</w:t>
            </w:r>
          </w:p>
        </w:tc>
      </w:tr>
      <w:tr w:rsidR="004A1E60" w:rsidRPr="004A1E60" w14:paraId="0BC31197" w14:textId="77777777" w:rsidTr="004A1E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D41FDF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D775A5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ε₃² ≈ 0.000024039</w:t>
            </w:r>
          </w:p>
        </w:tc>
        <w:tc>
          <w:tcPr>
            <w:tcW w:w="0" w:type="auto"/>
            <w:vAlign w:val="center"/>
            <w:hideMark/>
          </w:tcPr>
          <w:p w14:paraId="24C9074C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0.000001 + 0.1·0.000024039 + 0.85·0.00009557 = </w:t>
            </w: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0.0000846383</w:t>
            </w:r>
          </w:p>
        </w:tc>
        <w:tc>
          <w:tcPr>
            <w:tcW w:w="0" w:type="auto"/>
            <w:vAlign w:val="center"/>
            <w:hideMark/>
          </w:tcPr>
          <w:p w14:paraId="4F29A59B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0.009200</w:t>
            </w: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 (0.9200%)</w:t>
            </w:r>
          </w:p>
        </w:tc>
      </w:tr>
      <w:tr w:rsidR="004A1E60" w:rsidRPr="004A1E60" w14:paraId="10D303A8" w14:textId="77777777" w:rsidTr="004A1E6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867F02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C34F90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>ε₄² ≈ 0.000218450</w:t>
            </w:r>
          </w:p>
        </w:tc>
        <w:tc>
          <w:tcPr>
            <w:tcW w:w="0" w:type="auto"/>
            <w:vAlign w:val="center"/>
            <w:hideMark/>
          </w:tcPr>
          <w:p w14:paraId="16D00701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0.000001 + 0.1·0.00021845 + 0.85·0.0000846383 = </w:t>
            </w: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0.0000947876</w:t>
            </w:r>
          </w:p>
        </w:tc>
        <w:tc>
          <w:tcPr>
            <w:tcW w:w="0" w:type="auto"/>
            <w:vAlign w:val="center"/>
            <w:hideMark/>
          </w:tcPr>
          <w:p w14:paraId="45A973F9" w14:textId="77777777" w:rsidR="004A1E60" w:rsidRPr="004A1E60" w:rsidRDefault="004A1E60" w:rsidP="004A1E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1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0.009737</w:t>
            </w:r>
            <w:r w:rsidRPr="004A1E60">
              <w:rPr>
                <w:rFonts w:ascii="Times New Roman" w:hAnsi="Times New Roman" w:cs="Times New Roman"/>
                <w:sz w:val="24"/>
                <w:szCs w:val="24"/>
              </w:rPr>
              <w:t xml:space="preserve"> (0.9737%)</w:t>
            </w:r>
          </w:p>
        </w:tc>
      </w:tr>
    </w:tbl>
    <w:p w14:paraId="7E56806A" w14:textId="77777777" w:rsidR="004A1E60" w:rsidRDefault="004A1E60" w:rsidP="00EB2FF2">
      <w:pPr>
        <w:rPr>
          <w:rFonts w:ascii="Times New Roman" w:hAnsi="Times New Roman" w:cs="Times New Roman"/>
          <w:sz w:val="24"/>
          <w:szCs w:val="24"/>
        </w:rPr>
      </w:pPr>
    </w:p>
    <w:p w14:paraId="42ACDD3D" w14:textId="00F37B08" w:rsidR="001338DB" w:rsidRDefault="001338DB" w:rsidP="001338DB">
      <w:pPr>
        <w:jc w:val="center"/>
        <w:rPr>
          <w:rFonts w:ascii="Times New Roman" w:hAnsi="Times New Roman" w:cs="Times New Roman"/>
          <w:sz w:val="24"/>
          <w:szCs w:val="24"/>
        </w:rPr>
      </w:pPr>
      <w:r w:rsidRPr="001338DB">
        <w:rPr>
          <w:rFonts w:ascii="Times New Roman" w:hAnsi="Times New Roman" w:cs="Times New Roman"/>
          <w:sz w:val="24"/>
          <w:szCs w:val="24"/>
        </w:rPr>
        <w:t>One-step ahead forecast (t=6)</w:t>
      </w:r>
    </w:p>
    <w:p w14:paraId="066E140D" w14:textId="4E1551FD" w:rsidR="001338DB" w:rsidRDefault="001338DB" w:rsidP="001338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C69138" wp14:editId="717FC77F">
            <wp:extent cx="2479675" cy="650875"/>
            <wp:effectExtent l="0" t="0" r="0" b="0"/>
            <wp:docPr id="103616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38DB" w:rsidSect="00EB2FF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C27"/>
    <w:multiLevelType w:val="multilevel"/>
    <w:tmpl w:val="101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F6B99"/>
    <w:multiLevelType w:val="multilevel"/>
    <w:tmpl w:val="1DD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73F07"/>
    <w:multiLevelType w:val="multilevel"/>
    <w:tmpl w:val="694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7A12"/>
    <w:multiLevelType w:val="multilevel"/>
    <w:tmpl w:val="C49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F323F"/>
    <w:multiLevelType w:val="multilevel"/>
    <w:tmpl w:val="982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27C"/>
    <w:multiLevelType w:val="multilevel"/>
    <w:tmpl w:val="B600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282"/>
    <w:multiLevelType w:val="multilevel"/>
    <w:tmpl w:val="6490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E3501"/>
    <w:multiLevelType w:val="multilevel"/>
    <w:tmpl w:val="338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1163E"/>
    <w:multiLevelType w:val="multilevel"/>
    <w:tmpl w:val="F964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F3BB0"/>
    <w:multiLevelType w:val="multilevel"/>
    <w:tmpl w:val="040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B1F98"/>
    <w:multiLevelType w:val="multilevel"/>
    <w:tmpl w:val="79F8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56CD4"/>
    <w:multiLevelType w:val="multilevel"/>
    <w:tmpl w:val="7E34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42172"/>
    <w:multiLevelType w:val="hybridMultilevel"/>
    <w:tmpl w:val="E1BA4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7411E"/>
    <w:multiLevelType w:val="hybridMultilevel"/>
    <w:tmpl w:val="445E2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2A2759"/>
    <w:multiLevelType w:val="multilevel"/>
    <w:tmpl w:val="8632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87CB3"/>
    <w:multiLevelType w:val="hybridMultilevel"/>
    <w:tmpl w:val="9A508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4E7CF7"/>
    <w:multiLevelType w:val="multilevel"/>
    <w:tmpl w:val="AA5C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3148">
    <w:abstractNumId w:val="5"/>
  </w:num>
  <w:num w:numId="2" w16cid:durableId="163055398">
    <w:abstractNumId w:val="1"/>
  </w:num>
  <w:num w:numId="3" w16cid:durableId="1668512910">
    <w:abstractNumId w:val="16"/>
  </w:num>
  <w:num w:numId="4" w16cid:durableId="544219548">
    <w:abstractNumId w:val="6"/>
  </w:num>
  <w:num w:numId="5" w16cid:durableId="662853420">
    <w:abstractNumId w:val="2"/>
  </w:num>
  <w:num w:numId="6" w16cid:durableId="1039815646">
    <w:abstractNumId w:val="14"/>
  </w:num>
  <w:num w:numId="7" w16cid:durableId="129173839">
    <w:abstractNumId w:val="3"/>
  </w:num>
  <w:num w:numId="8" w16cid:durableId="1056854956">
    <w:abstractNumId w:val="11"/>
  </w:num>
  <w:num w:numId="9" w16cid:durableId="1445922889">
    <w:abstractNumId w:val="15"/>
  </w:num>
  <w:num w:numId="10" w16cid:durableId="1934363537">
    <w:abstractNumId w:val="7"/>
  </w:num>
  <w:num w:numId="11" w16cid:durableId="1563713006">
    <w:abstractNumId w:val="0"/>
  </w:num>
  <w:num w:numId="12" w16cid:durableId="1324355248">
    <w:abstractNumId w:val="12"/>
  </w:num>
  <w:num w:numId="13" w16cid:durableId="660743991">
    <w:abstractNumId w:val="9"/>
  </w:num>
  <w:num w:numId="14" w16cid:durableId="1608846825">
    <w:abstractNumId w:val="4"/>
  </w:num>
  <w:num w:numId="15" w16cid:durableId="903295681">
    <w:abstractNumId w:val="10"/>
  </w:num>
  <w:num w:numId="16" w16cid:durableId="1505124752">
    <w:abstractNumId w:val="13"/>
  </w:num>
  <w:num w:numId="17" w16cid:durableId="170906918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00759B"/>
    <w:rsid w:val="0002670E"/>
    <w:rsid w:val="0007438E"/>
    <w:rsid w:val="000B17FA"/>
    <w:rsid w:val="000E06A8"/>
    <w:rsid w:val="00105447"/>
    <w:rsid w:val="00105C7F"/>
    <w:rsid w:val="001063E7"/>
    <w:rsid w:val="00110674"/>
    <w:rsid w:val="00123311"/>
    <w:rsid w:val="00131CEC"/>
    <w:rsid w:val="001338DB"/>
    <w:rsid w:val="001564F9"/>
    <w:rsid w:val="00165ED7"/>
    <w:rsid w:val="001A3628"/>
    <w:rsid w:val="001D0CA0"/>
    <w:rsid w:val="001D413E"/>
    <w:rsid w:val="001D6315"/>
    <w:rsid w:val="001E16B8"/>
    <w:rsid w:val="00207E99"/>
    <w:rsid w:val="00222A71"/>
    <w:rsid w:val="0024330D"/>
    <w:rsid w:val="00253CC2"/>
    <w:rsid w:val="00257EFB"/>
    <w:rsid w:val="00260B24"/>
    <w:rsid w:val="0026293C"/>
    <w:rsid w:val="00287F67"/>
    <w:rsid w:val="00296AD5"/>
    <w:rsid w:val="002B7310"/>
    <w:rsid w:val="002E40B5"/>
    <w:rsid w:val="0030511E"/>
    <w:rsid w:val="0032683E"/>
    <w:rsid w:val="00340045"/>
    <w:rsid w:val="00346D65"/>
    <w:rsid w:val="00384404"/>
    <w:rsid w:val="00390E57"/>
    <w:rsid w:val="003B239E"/>
    <w:rsid w:val="003B7480"/>
    <w:rsid w:val="003C2ECC"/>
    <w:rsid w:val="00412FF3"/>
    <w:rsid w:val="00431BB0"/>
    <w:rsid w:val="00470B74"/>
    <w:rsid w:val="004A103C"/>
    <w:rsid w:val="004A1E60"/>
    <w:rsid w:val="004B24BA"/>
    <w:rsid w:val="004C4BCA"/>
    <w:rsid w:val="004E626C"/>
    <w:rsid w:val="004F6013"/>
    <w:rsid w:val="005A02EA"/>
    <w:rsid w:val="005A7828"/>
    <w:rsid w:val="005D0537"/>
    <w:rsid w:val="005E0FDB"/>
    <w:rsid w:val="00600D9C"/>
    <w:rsid w:val="00631AF4"/>
    <w:rsid w:val="006326ED"/>
    <w:rsid w:val="00647712"/>
    <w:rsid w:val="00654A51"/>
    <w:rsid w:val="00660C73"/>
    <w:rsid w:val="0066296F"/>
    <w:rsid w:val="00681FCC"/>
    <w:rsid w:val="006F2204"/>
    <w:rsid w:val="007469E9"/>
    <w:rsid w:val="00746D2B"/>
    <w:rsid w:val="00797CF2"/>
    <w:rsid w:val="007B3669"/>
    <w:rsid w:val="008119BE"/>
    <w:rsid w:val="00864C9C"/>
    <w:rsid w:val="008C4145"/>
    <w:rsid w:val="00934075"/>
    <w:rsid w:val="00986FDE"/>
    <w:rsid w:val="009D3D0B"/>
    <w:rsid w:val="009F129B"/>
    <w:rsid w:val="00A41CAF"/>
    <w:rsid w:val="00A91BA9"/>
    <w:rsid w:val="00A97EBB"/>
    <w:rsid w:val="00AB74B4"/>
    <w:rsid w:val="00AD6DAF"/>
    <w:rsid w:val="00B00F40"/>
    <w:rsid w:val="00B377C3"/>
    <w:rsid w:val="00B4388C"/>
    <w:rsid w:val="00B56801"/>
    <w:rsid w:val="00B75976"/>
    <w:rsid w:val="00B83C26"/>
    <w:rsid w:val="00B909EC"/>
    <w:rsid w:val="00BA14C5"/>
    <w:rsid w:val="00C15403"/>
    <w:rsid w:val="00C27B74"/>
    <w:rsid w:val="00C33B8F"/>
    <w:rsid w:val="00C411CD"/>
    <w:rsid w:val="00C635DE"/>
    <w:rsid w:val="00C827D9"/>
    <w:rsid w:val="00CD0F10"/>
    <w:rsid w:val="00CD57E6"/>
    <w:rsid w:val="00CE6849"/>
    <w:rsid w:val="00CF4776"/>
    <w:rsid w:val="00D40A1B"/>
    <w:rsid w:val="00D44B71"/>
    <w:rsid w:val="00D6065E"/>
    <w:rsid w:val="00DD21A0"/>
    <w:rsid w:val="00E219D9"/>
    <w:rsid w:val="00E432D6"/>
    <w:rsid w:val="00E7593D"/>
    <w:rsid w:val="00EB2FF2"/>
    <w:rsid w:val="00EC4D84"/>
    <w:rsid w:val="00EC620E"/>
    <w:rsid w:val="00ED49C9"/>
    <w:rsid w:val="00ED6395"/>
    <w:rsid w:val="00F4191F"/>
    <w:rsid w:val="00F62E29"/>
    <w:rsid w:val="00F77F22"/>
    <w:rsid w:val="00F91935"/>
    <w:rsid w:val="00F920C1"/>
    <w:rsid w:val="00F959E0"/>
    <w:rsid w:val="00FC587D"/>
    <w:rsid w:val="00FE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0B5"/>
    <w:rPr>
      <w:b/>
      <w:bCs/>
    </w:rPr>
  </w:style>
  <w:style w:type="paragraph" w:styleId="NoSpacing">
    <w:name w:val="No Spacing"/>
    <w:uiPriority w:val="1"/>
    <w:qFormat/>
    <w:rsid w:val="001D63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1536</TotalTime>
  <Pages>4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82</cp:revision>
  <dcterms:created xsi:type="dcterms:W3CDTF">2025-10-21T03:42:00Z</dcterms:created>
  <dcterms:modified xsi:type="dcterms:W3CDTF">2025-11-09T12:03:00Z</dcterms:modified>
</cp:coreProperties>
</file>