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BE40A" w14:textId="77777777" w:rsidR="001B389A" w:rsidRPr="001B389A" w:rsidRDefault="001B389A" w:rsidP="001B389A">
      <w:pPr>
        <w:rPr>
          <w:lang w:val="en-IN"/>
        </w:rPr>
      </w:pPr>
      <w:r w:rsidRPr="001B389A">
        <w:rPr>
          <w:lang w:val="en-IN"/>
        </w:rPr>
        <w:t>Artificial Intelligence (AI) is revolutionizing industries, enhancing efficiency, and automating complex decision-making processes. However, as AI systems become more autonomous, their potential to cause harm in high-risk applications—such as criminal justice, healthcare, finance, and autonomous weapons—has become a major concern. The dual nature of AI, where it can be both beneficial and harmful, necessitates ethical and regulatory frameworks to ensure responsible development and deployment.</w:t>
      </w:r>
    </w:p>
    <w:p w14:paraId="6B584825" w14:textId="77777777" w:rsidR="001B389A" w:rsidRPr="001B389A" w:rsidRDefault="001B389A" w:rsidP="001B389A">
      <w:pPr>
        <w:rPr>
          <w:lang w:val="en-IN"/>
        </w:rPr>
      </w:pPr>
      <w:r w:rsidRPr="001B389A">
        <w:rPr>
          <w:lang w:val="en-IN"/>
        </w:rPr>
        <w:t>AI has transitioned from narrow AI applications (e.g., chatbots, recommendation systems) to high-risk AI that makes critical decisions impacting human lives. For instance, AI-powered facial recognition is widely used for law enforcement and border security, but it has been criticized for racial biases and privacy violations. Similarly, AI-driven healthcare diagnostics improve efficiency but can lead to misdiagnosis if the model is not properly trained. In financial services, AI is used for loan approvals and fraud detection, yet it may discriminate against marginalized communities due to biased training data.</w:t>
      </w:r>
    </w:p>
    <w:p w14:paraId="34D49E97" w14:textId="77777777" w:rsidR="001B389A" w:rsidRPr="001B389A" w:rsidRDefault="001B389A" w:rsidP="001B389A">
      <w:pPr>
        <w:rPr>
          <w:lang w:val="en-IN"/>
        </w:rPr>
      </w:pPr>
      <w:r w:rsidRPr="001B389A">
        <w:rPr>
          <w:lang w:val="en-IN"/>
        </w:rPr>
        <w:t>Recognizing these risks, the Australian government has proposed mandatory AI guardrails to regulate high-risk AI applications. These guardrails emphasize:</w:t>
      </w:r>
    </w:p>
    <w:p w14:paraId="5BD4D71A" w14:textId="77777777" w:rsidR="001B389A" w:rsidRPr="001B389A" w:rsidRDefault="001B389A" w:rsidP="001B389A">
      <w:pPr>
        <w:numPr>
          <w:ilvl w:val="0"/>
          <w:numId w:val="5"/>
        </w:numPr>
        <w:rPr>
          <w:lang w:val="en-IN"/>
        </w:rPr>
      </w:pPr>
      <w:r w:rsidRPr="001B389A">
        <w:rPr>
          <w:lang w:val="en-IN"/>
        </w:rPr>
        <w:t>Testing AI performance before deployment to ensure accuracy, fairness, and reliability.</w:t>
      </w:r>
    </w:p>
    <w:p w14:paraId="0F4CEEE5" w14:textId="77777777" w:rsidR="001B389A" w:rsidRPr="001B389A" w:rsidRDefault="001B389A" w:rsidP="001B389A">
      <w:pPr>
        <w:numPr>
          <w:ilvl w:val="0"/>
          <w:numId w:val="5"/>
        </w:numPr>
        <w:rPr>
          <w:lang w:val="en-IN"/>
        </w:rPr>
      </w:pPr>
      <w:r w:rsidRPr="001B389A">
        <w:rPr>
          <w:lang w:val="en-IN"/>
        </w:rPr>
        <w:t>Transparency regarding how AI systems process data and make decisions.</w:t>
      </w:r>
    </w:p>
    <w:p w14:paraId="157570A1" w14:textId="77777777" w:rsidR="001B389A" w:rsidRPr="001B389A" w:rsidRDefault="001B389A" w:rsidP="001B389A">
      <w:pPr>
        <w:numPr>
          <w:ilvl w:val="0"/>
          <w:numId w:val="5"/>
        </w:numPr>
        <w:rPr>
          <w:lang w:val="en-IN"/>
        </w:rPr>
      </w:pPr>
      <w:r w:rsidRPr="001B389A">
        <w:rPr>
          <w:lang w:val="en-IN"/>
        </w:rPr>
        <w:t>Accountability for AI-related harm, ensuring that developers and users are held responsible for unintended consequences.</w:t>
      </w:r>
    </w:p>
    <w:p w14:paraId="0E5BAECA" w14:textId="4CEA63D3" w:rsidR="001B389A" w:rsidRPr="001B389A" w:rsidRDefault="001B389A" w:rsidP="001B389A">
      <w:pPr>
        <w:rPr>
          <w:lang w:val="en-IN"/>
        </w:rPr>
      </w:pPr>
      <w:r w:rsidRPr="001B389A">
        <w:rPr>
          <w:lang w:val="en-IN"/>
        </w:rPr>
        <w:t>The primary goal of AI regulation is to balance innovation with public safety, ensuring that AI systems benefit society while minimizing risks. However, defining high-risk AI and enforcing regulations remain major challenges, requiring a collaborative effort between governments, AI researchers, and industry leaders.</w:t>
      </w:r>
    </w:p>
    <w:p w14:paraId="6E4D3DC4" w14:textId="77777777" w:rsidR="001B389A" w:rsidRPr="001B389A" w:rsidRDefault="001B389A" w:rsidP="001B389A">
      <w:pPr>
        <w:rPr>
          <w:lang w:val="en-IN"/>
        </w:rPr>
      </w:pPr>
      <w:r w:rsidRPr="001B389A">
        <w:rPr>
          <w:lang w:val="en-IN"/>
        </w:rPr>
        <w:t>1.2 Importance of Regulating High-Risk AI</w:t>
      </w:r>
    </w:p>
    <w:p w14:paraId="244785DC" w14:textId="77777777" w:rsidR="001B389A" w:rsidRPr="001B389A" w:rsidRDefault="001B389A" w:rsidP="001B389A">
      <w:pPr>
        <w:rPr>
          <w:lang w:val="en-IN"/>
        </w:rPr>
      </w:pPr>
      <w:r w:rsidRPr="001B389A">
        <w:rPr>
          <w:lang w:val="en-IN"/>
        </w:rPr>
        <w:t>AI's growing influence in high-stakes decision-making raises concerns about fairness, security, and ethical responsibility. Without proper regulations, high-risk AI can lead to systemic harm, disproportionately affecting vulnerable populations. The key risks associated with unregulated AI include:</w:t>
      </w:r>
    </w:p>
    <w:p w14:paraId="66E713EC" w14:textId="77777777" w:rsidR="001B389A" w:rsidRPr="001B389A" w:rsidRDefault="001B389A" w:rsidP="001B389A">
      <w:pPr>
        <w:rPr>
          <w:lang w:val="en-IN"/>
        </w:rPr>
      </w:pPr>
      <w:r w:rsidRPr="001B389A">
        <w:rPr>
          <w:lang w:val="en-IN"/>
        </w:rPr>
        <w:t>1.2.1 Bias and Discrimination</w:t>
      </w:r>
    </w:p>
    <w:p w14:paraId="49F43E1E" w14:textId="77777777" w:rsidR="001B389A" w:rsidRPr="001B389A" w:rsidRDefault="001B389A" w:rsidP="001B389A">
      <w:pPr>
        <w:rPr>
          <w:lang w:val="en-IN"/>
        </w:rPr>
      </w:pPr>
      <w:r w:rsidRPr="001B389A">
        <w:rPr>
          <w:lang w:val="en-IN"/>
        </w:rPr>
        <w:t xml:space="preserve">AI systems learn from historical data, which may contain inherent biases. If AI is trained on biased datasets, it can reinforce gender, racial, and socioeconomic disparities. For instance, AI-powered hiring systems have been shown to </w:t>
      </w:r>
      <w:proofErr w:type="spellStart"/>
      <w:r w:rsidRPr="001B389A">
        <w:rPr>
          <w:lang w:val="en-IN"/>
        </w:rPr>
        <w:t>favor</w:t>
      </w:r>
      <w:proofErr w:type="spellEnd"/>
      <w:r w:rsidRPr="001B389A">
        <w:rPr>
          <w:lang w:val="en-IN"/>
        </w:rPr>
        <w:t xml:space="preserve"> male candidates over female candidates due to biases in past hiring data. Similarly, predictive policing AI has been criticized for disproportionately targeting minority communities, exacerbating existing inequalities.</w:t>
      </w:r>
    </w:p>
    <w:p w14:paraId="39FFE8A1" w14:textId="77777777" w:rsidR="001B389A" w:rsidRPr="001B389A" w:rsidRDefault="001B389A" w:rsidP="001B389A">
      <w:pPr>
        <w:rPr>
          <w:lang w:val="en-IN"/>
        </w:rPr>
      </w:pPr>
      <w:r w:rsidRPr="001B389A">
        <w:rPr>
          <w:lang w:val="en-IN"/>
        </w:rPr>
        <w:t>1.2.2 Security and Privacy Threats</w:t>
      </w:r>
    </w:p>
    <w:p w14:paraId="298C3943" w14:textId="77777777" w:rsidR="001B389A" w:rsidRPr="001B389A" w:rsidRDefault="001B389A" w:rsidP="001B389A">
      <w:pPr>
        <w:rPr>
          <w:lang w:val="en-IN"/>
        </w:rPr>
      </w:pPr>
      <w:r w:rsidRPr="001B389A">
        <w:rPr>
          <w:lang w:val="en-IN"/>
        </w:rPr>
        <w:t>AI’s ability to process vast amounts of personal data introduces privacy concerns. Technologies such as facial recognition and surveillance AI can be misused for mass surveillance and unauthorized data collection. Additionally, deepfake AI—which generates hyper-realistic fake videos and voices—can be exploited for misinformation, identity theft, and cybercrimes. Without strong regulations, these technologies could compromise personal privacy and national security.</w:t>
      </w:r>
    </w:p>
    <w:p w14:paraId="037D91D7" w14:textId="77777777" w:rsidR="001B389A" w:rsidRPr="001B389A" w:rsidRDefault="001B389A" w:rsidP="001B389A">
      <w:pPr>
        <w:rPr>
          <w:lang w:val="en-IN"/>
        </w:rPr>
      </w:pPr>
      <w:r w:rsidRPr="001B389A">
        <w:rPr>
          <w:lang w:val="en-IN"/>
        </w:rPr>
        <w:lastRenderedPageBreak/>
        <w:t>1.2.3 Ethical Concerns in Autonomous AI</w:t>
      </w:r>
    </w:p>
    <w:p w14:paraId="03509810" w14:textId="77777777" w:rsidR="001B389A" w:rsidRPr="001B389A" w:rsidRDefault="001B389A" w:rsidP="001B389A">
      <w:pPr>
        <w:rPr>
          <w:lang w:val="en-IN"/>
        </w:rPr>
      </w:pPr>
      <w:r w:rsidRPr="001B389A">
        <w:rPr>
          <w:lang w:val="en-IN"/>
        </w:rPr>
        <w:t>The rise of autonomous AI systems—such as self-driving cars, AI in warfare, and medical diagnosis AI—raises complex ethical dilemmas.</w:t>
      </w:r>
    </w:p>
    <w:p w14:paraId="45E63EB5" w14:textId="77777777" w:rsidR="001B389A" w:rsidRPr="001B389A" w:rsidRDefault="001B389A" w:rsidP="001B389A">
      <w:pPr>
        <w:numPr>
          <w:ilvl w:val="0"/>
          <w:numId w:val="6"/>
        </w:numPr>
        <w:rPr>
          <w:lang w:val="en-IN"/>
        </w:rPr>
      </w:pPr>
      <w:r w:rsidRPr="001B389A">
        <w:rPr>
          <w:lang w:val="en-IN"/>
        </w:rPr>
        <w:t>Who is responsible if an autonomous vehicle causes a fatal accident?</w:t>
      </w:r>
    </w:p>
    <w:p w14:paraId="2D0075A2" w14:textId="77777777" w:rsidR="001B389A" w:rsidRPr="001B389A" w:rsidRDefault="001B389A" w:rsidP="001B389A">
      <w:pPr>
        <w:numPr>
          <w:ilvl w:val="0"/>
          <w:numId w:val="6"/>
        </w:numPr>
        <w:rPr>
          <w:lang w:val="en-IN"/>
        </w:rPr>
      </w:pPr>
      <w:r w:rsidRPr="001B389A">
        <w:rPr>
          <w:lang w:val="en-IN"/>
        </w:rPr>
        <w:t>Should AI-powered weapons be allowed to make life-or-death decisions in warfare?</w:t>
      </w:r>
    </w:p>
    <w:p w14:paraId="05AD8419" w14:textId="77777777" w:rsidR="001B389A" w:rsidRPr="001B389A" w:rsidRDefault="001B389A" w:rsidP="001B389A">
      <w:pPr>
        <w:numPr>
          <w:ilvl w:val="0"/>
          <w:numId w:val="6"/>
        </w:numPr>
        <w:rPr>
          <w:lang w:val="en-IN"/>
        </w:rPr>
      </w:pPr>
      <w:r w:rsidRPr="001B389A">
        <w:rPr>
          <w:lang w:val="en-IN"/>
        </w:rPr>
        <w:t>How do we ensure AI in healthcare prioritizes patient safety over profit-driven decision-making?</w:t>
      </w:r>
    </w:p>
    <w:p w14:paraId="6CF1CB08" w14:textId="607263BA" w:rsidR="001B389A" w:rsidRPr="001B389A" w:rsidRDefault="001B389A" w:rsidP="001B389A">
      <w:pPr>
        <w:rPr>
          <w:lang w:val="en-IN"/>
        </w:rPr>
      </w:pPr>
      <w:r w:rsidRPr="001B389A">
        <w:rPr>
          <w:lang w:val="en-IN"/>
        </w:rPr>
        <w:t>These unresolved ethical concerns highlight the urgent need for a regulatory framework that can govern AI accountability and decision-making.</w:t>
      </w:r>
    </w:p>
    <w:p w14:paraId="1306EC1E" w14:textId="77777777" w:rsidR="001B389A" w:rsidRPr="001B389A" w:rsidRDefault="001B389A" w:rsidP="001B389A">
      <w:pPr>
        <w:rPr>
          <w:lang w:val="en-IN"/>
        </w:rPr>
      </w:pPr>
      <w:r w:rsidRPr="001B389A">
        <w:rPr>
          <w:lang w:val="en-IN"/>
        </w:rPr>
        <w:t>1.3 Research Scope &amp; Methodology</w:t>
      </w:r>
    </w:p>
    <w:p w14:paraId="0B9CF845" w14:textId="77777777" w:rsidR="001B389A" w:rsidRPr="001B389A" w:rsidRDefault="001B389A" w:rsidP="001B389A">
      <w:pPr>
        <w:rPr>
          <w:lang w:val="en-IN"/>
        </w:rPr>
      </w:pPr>
      <w:r w:rsidRPr="001B389A">
        <w:rPr>
          <w:lang w:val="en-IN"/>
        </w:rPr>
        <w:t xml:space="preserve">This research aims to examine the regulation of high-risk AI by </w:t>
      </w:r>
      <w:proofErr w:type="spellStart"/>
      <w:r w:rsidRPr="001B389A">
        <w:rPr>
          <w:lang w:val="en-IN"/>
        </w:rPr>
        <w:t>analyzing</w:t>
      </w:r>
      <w:proofErr w:type="spellEnd"/>
      <w:r w:rsidRPr="001B389A">
        <w:rPr>
          <w:lang w:val="en-IN"/>
        </w:rPr>
        <w:t>:</w:t>
      </w:r>
    </w:p>
    <w:p w14:paraId="1FED197A" w14:textId="77777777" w:rsidR="001B389A" w:rsidRPr="001B389A" w:rsidRDefault="001B389A" w:rsidP="001B389A">
      <w:pPr>
        <w:numPr>
          <w:ilvl w:val="0"/>
          <w:numId w:val="7"/>
        </w:numPr>
        <w:rPr>
          <w:lang w:val="en-IN"/>
        </w:rPr>
      </w:pPr>
      <w:r w:rsidRPr="001B389A">
        <w:rPr>
          <w:lang w:val="en-IN"/>
        </w:rPr>
        <w:t>How high-risk AI is defined in different governance models.</w:t>
      </w:r>
    </w:p>
    <w:p w14:paraId="65F72FD0" w14:textId="77777777" w:rsidR="001B389A" w:rsidRPr="001B389A" w:rsidRDefault="001B389A" w:rsidP="001B389A">
      <w:pPr>
        <w:numPr>
          <w:ilvl w:val="0"/>
          <w:numId w:val="7"/>
        </w:numPr>
        <w:rPr>
          <w:lang w:val="en-IN"/>
        </w:rPr>
      </w:pPr>
      <w:r w:rsidRPr="001B389A">
        <w:rPr>
          <w:lang w:val="en-IN"/>
        </w:rPr>
        <w:t>The ethical, legal, and technical challenges associated with regulating high-risk AI.</w:t>
      </w:r>
    </w:p>
    <w:p w14:paraId="56F23E3D" w14:textId="77777777" w:rsidR="001B389A" w:rsidRPr="001B389A" w:rsidRDefault="001B389A" w:rsidP="001B389A">
      <w:pPr>
        <w:numPr>
          <w:ilvl w:val="0"/>
          <w:numId w:val="7"/>
        </w:numPr>
        <w:rPr>
          <w:lang w:val="en-IN"/>
        </w:rPr>
      </w:pPr>
      <w:r w:rsidRPr="001B389A">
        <w:rPr>
          <w:lang w:val="en-IN"/>
        </w:rPr>
        <w:t xml:space="preserve">Comparisons between Australia’s AI guardrails and global frameworks, including: </w:t>
      </w:r>
    </w:p>
    <w:p w14:paraId="264A97C8" w14:textId="77777777" w:rsidR="001B389A" w:rsidRPr="001B389A" w:rsidRDefault="001B389A" w:rsidP="001B389A">
      <w:pPr>
        <w:rPr>
          <w:lang w:val="en-IN"/>
        </w:rPr>
      </w:pPr>
      <w:r w:rsidRPr="001B389A">
        <w:rPr>
          <w:lang w:val="en-IN"/>
        </w:rPr>
        <w:t>The EU AI Act, which categorizes AI risks into high, medium, and low risk levels.</w:t>
      </w:r>
    </w:p>
    <w:p w14:paraId="16ADA388" w14:textId="77777777" w:rsidR="001B389A" w:rsidRPr="001B389A" w:rsidRDefault="001B389A" w:rsidP="001B389A">
      <w:pPr>
        <w:rPr>
          <w:lang w:val="en-IN"/>
        </w:rPr>
      </w:pPr>
      <w:r w:rsidRPr="001B389A">
        <w:rPr>
          <w:lang w:val="en-IN"/>
        </w:rPr>
        <w:t>The US AI Guidelines, which focus on a risk-based regulatory approach rather than strict mandates.</w:t>
      </w:r>
    </w:p>
    <w:p w14:paraId="1E676403" w14:textId="77777777" w:rsidR="001B389A" w:rsidRPr="001B389A" w:rsidRDefault="001B389A" w:rsidP="001B389A">
      <w:pPr>
        <w:rPr>
          <w:lang w:val="en-IN"/>
        </w:rPr>
      </w:pPr>
      <w:r w:rsidRPr="001B389A">
        <w:rPr>
          <w:lang w:val="en-IN"/>
        </w:rPr>
        <w:t>Australia’s AI Guardrails, which emphasize testing, transparency, and accountability.</w:t>
      </w:r>
    </w:p>
    <w:p w14:paraId="7F748520" w14:textId="589A764F" w:rsidR="001B389A" w:rsidRPr="001B389A" w:rsidRDefault="001B389A" w:rsidP="001B389A">
      <w:pPr>
        <w:rPr>
          <w:lang w:val="en-IN"/>
        </w:rPr>
      </w:pPr>
      <w:r>
        <w:rPr>
          <w:lang w:val="en-IN"/>
        </w:rPr>
        <w:t>*</w:t>
      </w:r>
      <w:r w:rsidRPr="001B389A">
        <w:rPr>
          <w:lang w:val="en-IN"/>
        </w:rPr>
        <w:t>Methodology</w:t>
      </w:r>
    </w:p>
    <w:p w14:paraId="34242C1D" w14:textId="77777777" w:rsidR="001B389A" w:rsidRPr="001B389A" w:rsidRDefault="001B389A" w:rsidP="001B389A">
      <w:pPr>
        <w:rPr>
          <w:lang w:val="en-IN"/>
        </w:rPr>
      </w:pPr>
      <w:r w:rsidRPr="001B389A">
        <w:rPr>
          <w:lang w:val="en-IN"/>
        </w:rPr>
        <w:t>This study is based on a review of government policy papers, academic literature, and industry reports on AI ethics and regulations. Key sources include:</w:t>
      </w:r>
    </w:p>
    <w:p w14:paraId="6ABD2861" w14:textId="77777777" w:rsidR="001B389A" w:rsidRPr="001B389A" w:rsidRDefault="001B389A" w:rsidP="001B389A">
      <w:pPr>
        <w:rPr>
          <w:lang w:val="en-IN"/>
        </w:rPr>
      </w:pPr>
      <w:r w:rsidRPr="001B389A">
        <w:rPr>
          <w:lang w:val="en-IN"/>
        </w:rPr>
        <w:t>The Australian Government’s proposal for mandatory AI guardrails [1].</w:t>
      </w:r>
    </w:p>
    <w:p w14:paraId="75C2F4E4" w14:textId="77777777" w:rsidR="001B389A" w:rsidRPr="001B389A" w:rsidRDefault="001B389A" w:rsidP="001B389A">
      <w:pPr>
        <w:rPr>
          <w:lang w:val="en-IN"/>
        </w:rPr>
      </w:pPr>
      <w:r w:rsidRPr="001B389A">
        <w:rPr>
          <w:lang w:val="en-IN"/>
        </w:rPr>
        <w:t>The EU Artificial Intelligence Act, which sets the most comprehensive AI regulatory standards [2].</w:t>
      </w:r>
    </w:p>
    <w:p w14:paraId="5339BEFF" w14:textId="77777777" w:rsidR="001B389A" w:rsidRPr="001B389A" w:rsidRDefault="001B389A" w:rsidP="001B389A">
      <w:pPr>
        <w:rPr>
          <w:lang w:val="en-IN"/>
        </w:rPr>
      </w:pPr>
      <w:r w:rsidRPr="001B389A">
        <w:rPr>
          <w:lang w:val="en-IN"/>
        </w:rPr>
        <w:t>Academic research on AI ethics, including discussions on fairness, accountability, and bias [3].</w:t>
      </w:r>
    </w:p>
    <w:p w14:paraId="69611354" w14:textId="77777777" w:rsidR="001B389A" w:rsidRPr="001B389A" w:rsidRDefault="001B389A" w:rsidP="001B389A">
      <w:pPr>
        <w:rPr>
          <w:lang w:val="en-IN"/>
        </w:rPr>
      </w:pPr>
      <w:r w:rsidRPr="001B389A">
        <w:rPr>
          <w:lang w:val="en-IN"/>
        </w:rPr>
        <w:t>By comparing different regulatory frameworks, this research identifies best practices and provides recommendations to strengthen Australia’s AI governance approach while supporting innovation.</w:t>
      </w:r>
    </w:p>
    <w:p w14:paraId="6462AC6C" w14:textId="77777777" w:rsidR="00A53FAF" w:rsidRPr="001B389A" w:rsidRDefault="00A53FAF" w:rsidP="001B389A"/>
    <w:sectPr w:rsidR="00A53FAF" w:rsidRPr="001B3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13C3A"/>
    <w:multiLevelType w:val="multilevel"/>
    <w:tmpl w:val="5A3C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29A8"/>
    <w:multiLevelType w:val="multilevel"/>
    <w:tmpl w:val="915C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C0246"/>
    <w:multiLevelType w:val="multilevel"/>
    <w:tmpl w:val="D3D6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0236D"/>
    <w:multiLevelType w:val="multilevel"/>
    <w:tmpl w:val="94D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D119B"/>
    <w:multiLevelType w:val="multilevel"/>
    <w:tmpl w:val="3836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D0B2D"/>
    <w:multiLevelType w:val="multilevel"/>
    <w:tmpl w:val="BF28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E44D4"/>
    <w:multiLevelType w:val="multilevel"/>
    <w:tmpl w:val="7F5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807EE4"/>
    <w:multiLevelType w:val="multilevel"/>
    <w:tmpl w:val="8C94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B4621"/>
    <w:multiLevelType w:val="multilevel"/>
    <w:tmpl w:val="4592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250665">
    <w:abstractNumId w:val="5"/>
  </w:num>
  <w:num w:numId="2" w16cid:durableId="144855707">
    <w:abstractNumId w:val="6"/>
  </w:num>
  <w:num w:numId="3" w16cid:durableId="1772778250">
    <w:abstractNumId w:val="4"/>
  </w:num>
  <w:num w:numId="4" w16cid:durableId="318073805">
    <w:abstractNumId w:val="1"/>
  </w:num>
  <w:num w:numId="5" w16cid:durableId="1438722030">
    <w:abstractNumId w:val="8"/>
  </w:num>
  <w:num w:numId="6" w16cid:durableId="453402237">
    <w:abstractNumId w:val="0"/>
  </w:num>
  <w:num w:numId="7" w16cid:durableId="48068491">
    <w:abstractNumId w:val="2"/>
  </w:num>
  <w:num w:numId="8" w16cid:durableId="337661254">
    <w:abstractNumId w:val="7"/>
  </w:num>
  <w:num w:numId="9" w16cid:durableId="1910460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59"/>
    <w:rsid w:val="00007618"/>
    <w:rsid w:val="000A1656"/>
    <w:rsid w:val="00133DD0"/>
    <w:rsid w:val="001B389A"/>
    <w:rsid w:val="00267EF9"/>
    <w:rsid w:val="003A2423"/>
    <w:rsid w:val="004513A7"/>
    <w:rsid w:val="004B172D"/>
    <w:rsid w:val="004D001D"/>
    <w:rsid w:val="004E7448"/>
    <w:rsid w:val="00593968"/>
    <w:rsid w:val="005D5912"/>
    <w:rsid w:val="00647C3B"/>
    <w:rsid w:val="0065334D"/>
    <w:rsid w:val="00653F61"/>
    <w:rsid w:val="007A2FE1"/>
    <w:rsid w:val="00912FAF"/>
    <w:rsid w:val="00933E09"/>
    <w:rsid w:val="00A276F1"/>
    <w:rsid w:val="00A53FAF"/>
    <w:rsid w:val="00A93259"/>
    <w:rsid w:val="00BF791B"/>
    <w:rsid w:val="00ED2BBF"/>
    <w:rsid w:val="00EE1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76EF"/>
  <w15:chartTrackingRefBased/>
  <w15:docId w15:val="{5D1610D7-94D6-43F1-8EA4-F1005119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A93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59"/>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A93259"/>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A93259"/>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A93259"/>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A93259"/>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A93259"/>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A93259"/>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A93259"/>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A93259"/>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A93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59"/>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A93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59"/>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A93259"/>
    <w:pPr>
      <w:spacing w:before="160"/>
      <w:jc w:val="center"/>
    </w:pPr>
    <w:rPr>
      <w:i/>
      <w:iCs/>
      <w:color w:val="404040" w:themeColor="text1" w:themeTint="BF"/>
    </w:rPr>
  </w:style>
  <w:style w:type="character" w:customStyle="1" w:styleId="QuoteChar">
    <w:name w:val="Quote Char"/>
    <w:basedOn w:val="DefaultParagraphFont"/>
    <w:link w:val="Quote"/>
    <w:uiPriority w:val="29"/>
    <w:rsid w:val="00A93259"/>
    <w:rPr>
      <w:i/>
      <w:iCs/>
      <w:color w:val="404040" w:themeColor="text1" w:themeTint="BF"/>
      <w:lang w:val="en-AU"/>
    </w:rPr>
  </w:style>
  <w:style w:type="paragraph" w:styleId="ListParagraph">
    <w:name w:val="List Paragraph"/>
    <w:basedOn w:val="Normal"/>
    <w:uiPriority w:val="34"/>
    <w:qFormat/>
    <w:rsid w:val="00A93259"/>
    <w:pPr>
      <w:ind w:left="720"/>
      <w:contextualSpacing/>
    </w:pPr>
  </w:style>
  <w:style w:type="character" w:styleId="IntenseEmphasis">
    <w:name w:val="Intense Emphasis"/>
    <w:basedOn w:val="DefaultParagraphFont"/>
    <w:uiPriority w:val="21"/>
    <w:qFormat/>
    <w:rsid w:val="00A93259"/>
    <w:rPr>
      <w:i/>
      <w:iCs/>
      <w:color w:val="0F4761" w:themeColor="accent1" w:themeShade="BF"/>
    </w:rPr>
  </w:style>
  <w:style w:type="paragraph" w:styleId="IntenseQuote">
    <w:name w:val="Intense Quote"/>
    <w:basedOn w:val="Normal"/>
    <w:next w:val="Normal"/>
    <w:link w:val="IntenseQuoteChar"/>
    <w:uiPriority w:val="30"/>
    <w:qFormat/>
    <w:rsid w:val="00A93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259"/>
    <w:rPr>
      <w:i/>
      <w:iCs/>
      <w:color w:val="0F4761" w:themeColor="accent1" w:themeShade="BF"/>
      <w:lang w:val="en-AU"/>
    </w:rPr>
  </w:style>
  <w:style w:type="character" w:styleId="IntenseReference">
    <w:name w:val="Intense Reference"/>
    <w:basedOn w:val="DefaultParagraphFont"/>
    <w:uiPriority w:val="32"/>
    <w:qFormat/>
    <w:rsid w:val="00A93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995211">
      <w:bodyDiv w:val="1"/>
      <w:marLeft w:val="0"/>
      <w:marRight w:val="0"/>
      <w:marTop w:val="0"/>
      <w:marBottom w:val="0"/>
      <w:divBdr>
        <w:top w:val="none" w:sz="0" w:space="0" w:color="auto"/>
        <w:left w:val="none" w:sz="0" w:space="0" w:color="auto"/>
        <w:bottom w:val="none" w:sz="0" w:space="0" w:color="auto"/>
        <w:right w:val="none" w:sz="0" w:space="0" w:color="auto"/>
      </w:divBdr>
    </w:div>
    <w:div w:id="1428773333">
      <w:bodyDiv w:val="1"/>
      <w:marLeft w:val="0"/>
      <w:marRight w:val="0"/>
      <w:marTop w:val="0"/>
      <w:marBottom w:val="0"/>
      <w:divBdr>
        <w:top w:val="none" w:sz="0" w:space="0" w:color="auto"/>
        <w:left w:val="none" w:sz="0" w:space="0" w:color="auto"/>
        <w:bottom w:val="none" w:sz="0" w:space="0" w:color="auto"/>
        <w:right w:val="none" w:sz="0" w:space="0" w:color="auto"/>
      </w:divBdr>
    </w:div>
    <w:div w:id="1891961714">
      <w:bodyDiv w:val="1"/>
      <w:marLeft w:val="0"/>
      <w:marRight w:val="0"/>
      <w:marTop w:val="0"/>
      <w:marBottom w:val="0"/>
      <w:divBdr>
        <w:top w:val="none" w:sz="0" w:space="0" w:color="auto"/>
        <w:left w:val="none" w:sz="0" w:space="0" w:color="auto"/>
        <w:bottom w:val="none" w:sz="0" w:space="0" w:color="auto"/>
        <w:right w:val="none" w:sz="0" w:space="0" w:color="auto"/>
      </w:divBdr>
    </w:div>
    <w:div w:id="198777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ARORA</dc:creator>
  <cp:keywords/>
  <dc:description/>
  <cp:lastModifiedBy>PIYUSH ARORA</cp:lastModifiedBy>
  <cp:revision>5</cp:revision>
  <dcterms:created xsi:type="dcterms:W3CDTF">2025-03-18T03:50:00Z</dcterms:created>
  <dcterms:modified xsi:type="dcterms:W3CDTF">2025-03-23T03:00:00Z</dcterms:modified>
</cp:coreProperties>
</file>