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sz w:val="36"/>
          <w:szCs w:val="36"/>
        </w:rPr>
      </w:pPr>
      <w:r w:rsidDel="00000000" w:rsidR="00000000" w:rsidRPr="00000000">
        <w:rPr>
          <w:b w:val="1"/>
          <w:bCs w:val="1"/>
          <w:sz w:val="36"/>
          <w:szCs w:val="36"/>
          <w:rtl w:val="0"/>
        </w:rPr>
        <w:t xml:space="preserve">Data-Driven Investment Intelligence Using NIFTY-50 Market Data</w:t>
      </w:r>
    </w:p>
    <w:p w:rsidR="00000000" w:rsidDel="00000000" w:rsidP="00000000" w:rsidRDefault="00000000" w:rsidRPr="00000000" w14:paraId="00000002">
      <w:pPr>
        <w:spacing w:after="240" w:lineRule="auto"/>
        <w:rPr>
          <w:b w:val="1"/>
          <w:bCs w:val="1"/>
          <w:sz w:val="36"/>
          <w:szCs w:val="36"/>
        </w:rPr>
      </w:pPr>
      <w:r w:rsidDel="00000000" w:rsidR="00000000" w:rsidRPr="00000000">
        <w:rPr>
          <w:b w:val="1"/>
          <w:bCs w:val="1"/>
          <w:sz w:val="36"/>
          <w:szCs w:val="36"/>
          <w:rtl w:val="0"/>
        </w:rPr>
        <w:t xml:space="preserve">NIFTY 50 Cult Open Projects 2026 - Final Technical Report</w:t>
      </w:r>
    </w:p>
    <w:p w:rsidR="00000000" w:rsidDel="00000000" w:rsidP="00000000" w:rsidRDefault="00000000" w:rsidRPr="00000000" w14:paraId="00000003">
      <w:pPr>
        <w:spacing w:after="240" w:lineRule="auto"/>
        <w:rPr>
          <w:sz w:val="32"/>
          <w:szCs w:val="32"/>
        </w:rPr>
      </w:pPr>
      <w:r w:rsidDel="00000000" w:rsidR="00000000" w:rsidRPr="00000000">
        <w:rPr>
          <w:b w:val="1"/>
          <w:bCs w:val="1"/>
          <w:sz w:val="32"/>
          <w:szCs w:val="32"/>
          <w:rtl w:val="0"/>
        </w:rPr>
        <w:t xml:space="preserve">Name:</w:t>
      </w:r>
      <w:r w:rsidDel="00000000" w:rsidR="00000000" w:rsidRPr="00000000">
        <w:rPr>
          <w:sz w:val="32"/>
          <w:szCs w:val="32"/>
          <w:rtl w:val="0"/>
        </w:rPr>
        <w:t xml:space="preserve"> Piyush Yadav</w:t>
      </w:r>
    </w:p>
    <w:p w:rsidR="00000000" w:rsidDel="00000000" w:rsidP="00000000" w:rsidRDefault="00000000" w:rsidRPr="00000000" w14:paraId="00000004">
      <w:pPr>
        <w:spacing w:after="240" w:lineRule="auto"/>
        <w:rPr>
          <w:sz w:val="32"/>
          <w:szCs w:val="32"/>
        </w:rPr>
      </w:pPr>
      <w:r w:rsidDel="00000000" w:rsidR="00000000" w:rsidRPr="00000000">
        <w:rPr>
          <w:b w:val="1"/>
          <w:bCs w:val="1"/>
          <w:sz w:val="32"/>
          <w:szCs w:val="32"/>
          <w:rtl w:val="0"/>
        </w:rPr>
        <w:t xml:space="preserve">Institution:</w:t>
      </w:r>
      <w:r w:rsidDel="00000000" w:rsidR="00000000" w:rsidRPr="00000000">
        <w:rPr>
          <w:sz w:val="32"/>
          <w:szCs w:val="32"/>
          <w:rtl w:val="0"/>
        </w:rPr>
        <w:t xml:space="preserve"> Indian Institute of Technology Roorkee (IITR)</w:t>
      </w:r>
    </w:p>
    <w:p w:rsidR="00000000" w:rsidDel="00000000" w:rsidP="00000000" w:rsidRDefault="00000000" w:rsidRPr="00000000" w14:paraId="00000005">
      <w:pPr>
        <w:spacing w:after="240" w:lineRule="auto"/>
        <w:rPr>
          <w:sz w:val="32"/>
          <w:szCs w:val="32"/>
        </w:rPr>
      </w:pPr>
      <w:r w:rsidDel="00000000" w:rsidR="00000000" w:rsidRPr="00000000">
        <w:rPr>
          <w:b w:val="1"/>
          <w:bCs w:val="1"/>
          <w:sz w:val="32"/>
          <w:szCs w:val="32"/>
          <w:rtl w:val="0"/>
        </w:rPr>
        <w:t xml:space="preserve">Department:</w:t>
      </w:r>
      <w:r w:rsidDel="00000000" w:rsidR="00000000" w:rsidRPr="00000000">
        <w:rPr>
          <w:sz w:val="32"/>
          <w:szCs w:val="32"/>
          <w:rtl w:val="0"/>
        </w:rPr>
        <w:t xml:space="preserve"> B.Tech Production and Industrial Engineering (PI-2)</w:t>
      </w:r>
    </w:p>
    <w:p w:rsidR="00000000" w:rsidDel="00000000" w:rsidP="00000000" w:rsidRDefault="00000000" w:rsidRPr="00000000" w14:paraId="00000006">
      <w:pPr>
        <w:spacing w:after="240" w:lineRule="auto"/>
        <w:rPr>
          <w:sz w:val="32"/>
          <w:szCs w:val="32"/>
        </w:rPr>
      </w:pPr>
      <w:r w:rsidDel="00000000" w:rsidR="00000000" w:rsidRPr="00000000">
        <w:rPr>
          <w:b w:val="1"/>
          <w:bCs w:val="1"/>
          <w:sz w:val="32"/>
          <w:szCs w:val="32"/>
          <w:rtl w:val="0"/>
        </w:rPr>
        <w:t xml:space="preserve">Enrollment Number:</w:t>
      </w:r>
      <w:r w:rsidDel="00000000" w:rsidR="00000000" w:rsidRPr="00000000">
        <w:rPr>
          <w:sz w:val="32"/>
          <w:szCs w:val="32"/>
          <w:rtl w:val="0"/>
        </w:rPr>
        <w:t xml:space="preserve"> 23119027</w:t>
      </w:r>
    </w:p>
    <w:p w:rsidR="00000000" w:rsidDel="00000000" w:rsidP="00000000" w:rsidRDefault="00000000" w:rsidRPr="00000000" w14:paraId="00000007">
      <w:pPr>
        <w:spacing w:after="240" w:lineRule="auto"/>
        <w:rPr>
          <w:b w:val="1"/>
          <w:bCs w:val="1"/>
          <w:sz w:val="26"/>
          <w:szCs w:val="26"/>
        </w:rPr>
      </w:pPr>
      <w:r w:rsidDel="00000000" w:rsidR="00000000" w:rsidRPr="00000000">
        <w:rPr>
          <w:b w:val="1"/>
          <w:bCs w:val="1"/>
          <w:sz w:val="26"/>
          <w:szCs w:val="26"/>
          <w:rtl w:val="0"/>
        </w:rPr>
        <w:t xml:space="preserve">Abstract</w:t>
      </w:r>
    </w:p>
    <w:p w:rsidR="00000000" w:rsidDel="00000000" w:rsidP="00000000" w:rsidRDefault="00000000" w:rsidRPr="00000000" w14:paraId="00000008">
      <w:pPr>
        <w:spacing w:after="240" w:lineRule="auto"/>
        <w:rPr>
          <w:sz w:val="26"/>
          <w:szCs w:val="26"/>
        </w:rPr>
      </w:pPr>
      <w:r w:rsidDel="00000000" w:rsidR="00000000" w:rsidRPr="00000000">
        <w:rPr>
          <w:sz w:val="26"/>
          <w:szCs w:val="26"/>
          <w:rtl w:val="0"/>
        </w:rPr>
        <w:t xml:space="preserve">Financial markets generate an overwhelming volume of daily pricing data, yet translating this raw information into actionable investment intelligence remains a complex challenge. This report details the design, methodology, and deployment of an AI-powered decision-support platform utilizing 21 years of historical NIFTY-50 market data (January 2000 to April 2021). Bypassing traditional deterministic forecasting, this system integrates Machine Learning (Random Forest classification for directional momentum), Modern Portfolio Theory (variance-optimized asset allocation), and institutional Risk Assessment (Sharpe, Sortino, and Maximum Drawdown metrics). The resulting platform successfully transforms historical stock activity into dynamically adjustable, explainable portfolios tailored to Conservative, Balanced, and Aggressive investor risk profiles.</w:t>
      </w:r>
    </w:p>
    <w:p w:rsidR="00000000" w:rsidDel="00000000" w:rsidP="00000000" w:rsidRDefault="00000000" w:rsidRPr="00000000" w14:paraId="00000009">
      <w:pPr>
        <w:pStyle w:val="Heading3"/>
        <w:keepNext w:val="0"/>
        <w:keepLines w:val="0"/>
        <w:spacing w:before="0" w:lineRule="auto"/>
        <w:rPr>
          <w:b w:val="1"/>
          <w:bCs w:val="1"/>
          <w:color w:val="000000"/>
          <w:sz w:val="30"/>
          <w:szCs w:val="30"/>
        </w:rPr>
      </w:pPr>
      <w:bookmarkStart w:colFirst="0" w:colLast="0" w:name="_lmoi5ogekymg" w:id="0"/>
      <w:bookmarkEnd w:id="0"/>
      <w:r w:rsidDel="00000000" w:rsidR="00000000" w:rsidRPr="00000000">
        <w:rPr>
          <w:b w:val="1"/>
          <w:bCs w:val="1"/>
          <w:color w:val="000000"/>
          <w:sz w:val="30"/>
          <w:szCs w:val="30"/>
          <w:rtl w:val="0"/>
        </w:rPr>
        <w:t xml:space="preserve">Introduction &amp; Motivation</w:t>
      </w:r>
    </w:p>
    <w:p w:rsidR="00000000" w:rsidDel="00000000" w:rsidP="00000000" w:rsidRDefault="00000000" w:rsidRPr="00000000" w14:paraId="0000000A">
      <w:pPr>
        <w:spacing w:after="240" w:lineRule="auto"/>
        <w:rPr>
          <w:b w:val="1"/>
          <w:bCs w:val="1"/>
          <w:sz w:val="26"/>
          <w:szCs w:val="26"/>
        </w:rPr>
      </w:pPr>
      <w:r w:rsidDel="00000000" w:rsidR="00000000" w:rsidRPr="00000000">
        <w:rPr>
          <w:b w:val="1"/>
          <w:bCs w:val="1"/>
          <w:sz w:val="26"/>
          <w:szCs w:val="26"/>
          <w:rtl w:val="0"/>
        </w:rPr>
        <w:t xml:space="preserve">1.1. Motivation and Problem Statement</w:t>
      </w:r>
    </w:p>
    <w:p w:rsidR="00000000" w:rsidDel="00000000" w:rsidP="00000000" w:rsidRDefault="00000000" w:rsidRPr="00000000" w14:paraId="0000000B">
      <w:pPr>
        <w:spacing w:after="240" w:lineRule="auto"/>
        <w:rPr>
          <w:sz w:val="26"/>
          <w:szCs w:val="26"/>
        </w:rPr>
      </w:pPr>
      <w:r w:rsidDel="00000000" w:rsidR="00000000" w:rsidRPr="00000000">
        <w:rPr>
          <w:sz w:val="26"/>
          <w:szCs w:val="26"/>
          <w:rtl w:val="0"/>
        </w:rPr>
        <w:t xml:space="preserve">The Efficient Market Hypothesis postulates that asset prices reflect all available information, making consistent alpha generation exceedingly difficult. While historical price data for the National Stock Exchange of India (NSE) is publicly accessible, raw data points—Open, High, Low, Close, and Volume—hold little intrinsic value without statistical transformation.</w:t>
      </w:r>
    </w:p>
    <w:p w:rsidR="00000000" w:rsidDel="00000000" w:rsidP="00000000" w:rsidRDefault="00000000" w:rsidRPr="00000000" w14:paraId="0000000C">
      <w:pPr>
        <w:spacing w:after="240" w:lineRule="auto"/>
        <w:rPr>
          <w:sz w:val="26"/>
          <w:szCs w:val="26"/>
        </w:rPr>
      </w:pPr>
      <w:r w:rsidDel="00000000" w:rsidR="00000000" w:rsidRPr="00000000">
        <w:rPr>
          <w:sz w:val="26"/>
          <w:szCs w:val="26"/>
          <w:rtl w:val="0"/>
        </w:rPr>
        <w:t xml:space="preserve">The primary objective of this project is to construct a practical decision-support system rather than a theoretical price-prediction oracle. Investors do not merely need to know what a stock might do tomorrow; they need to know how to structure their capital today to mitigate risk and optimize yield. This challenge necessitates combining machine learning with financial analytics to bridge the gap between predictive accuracy and real-world portfolio execution.</w:t>
      </w:r>
    </w:p>
    <w:p w:rsidR="00000000" w:rsidDel="00000000" w:rsidP="00000000" w:rsidRDefault="00000000" w:rsidRPr="00000000" w14:paraId="0000000D">
      <w:pPr>
        <w:spacing w:after="240" w:lineRule="auto"/>
        <w:rPr>
          <w:b w:val="1"/>
          <w:bCs w:val="1"/>
          <w:sz w:val="26"/>
          <w:szCs w:val="26"/>
        </w:rPr>
      </w:pPr>
      <w:r w:rsidDel="00000000" w:rsidR="00000000" w:rsidRPr="00000000">
        <w:rPr>
          <w:b w:val="1"/>
          <w:bCs w:val="1"/>
          <w:sz w:val="26"/>
          <w:szCs w:val="26"/>
          <w:rtl w:val="0"/>
        </w:rPr>
        <w:t xml:space="preserve">1.2. Scope of the System</w:t>
      </w:r>
    </w:p>
    <w:p w:rsidR="00000000" w:rsidDel="00000000" w:rsidP="00000000" w:rsidRDefault="00000000" w:rsidRPr="00000000" w14:paraId="0000000E">
      <w:pPr>
        <w:spacing w:after="240" w:lineRule="auto"/>
        <w:rPr>
          <w:sz w:val="26"/>
          <w:szCs w:val="26"/>
        </w:rPr>
      </w:pPr>
      <w:r w:rsidDel="00000000" w:rsidR="00000000" w:rsidRPr="00000000">
        <w:rPr>
          <w:sz w:val="26"/>
          <w:szCs w:val="26"/>
          <w:rtl w:val="0"/>
        </w:rPr>
        <w:t xml:space="preserve">The developed platform delivers three core capabilities:</w:t>
      </w:r>
    </w:p>
    <w:p w:rsidR="00000000" w:rsidDel="00000000" w:rsidP="00000000" w:rsidRDefault="00000000" w:rsidRPr="00000000" w14:paraId="0000000F">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Stock Predictor Engine:</w:t>
      </w:r>
      <w:r w:rsidDel="00000000" w:rsidR="00000000" w:rsidRPr="00000000">
        <w:rPr>
          <w:sz w:val="26"/>
          <w:szCs w:val="26"/>
          <w:rtl w:val="0"/>
        </w:rPr>
        <w:t xml:space="preserve"> A non-linear machine learning model capable of identifying short-to-medium-term directional price movements based on momentum and volatility indicators.</w:t>
      </w:r>
    </w:p>
    <w:p w:rsidR="00000000" w:rsidDel="00000000" w:rsidP="00000000" w:rsidRDefault="00000000" w:rsidRPr="00000000" w14:paraId="00000010">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Portfolio Construction Module:</w:t>
      </w:r>
      <w:r w:rsidDel="00000000" w:rsidR="00000000" w:rsidRPr="00000000">
        <w:rPr>
          <w:sz w:val="26"/>
          <w:szCs w:val="26"/>
          <w:rtl w:val="0"/>
        </w:rPr>
        <w:t xml:space="preserve"> A dynamic weighting algorithm that allocates capital across a selected universe of NIFTY-50 stocks based on the user's explicit risk tolerance.</w:t>
      </w:r>
    </w:p>
    <w:p w:rsidR="00000000" w:rsidDel="00000000" w:rsidP="00000000" w:rsidRDefault="00000000" w:rsidRPr="00000000" w14:paraId="00000011">
      <w:pPr>
        <w:numPr>
          <w:ilvl w:val="0"/>
          <w:numId w:val="4"/>
        </w:numPr>
        <w:spacing w:after="240" w:lineRule="auto"/>
        <w:ind w:left="720" w:hanging="360"/>
        <w:rPr>
          <w:sz w:val="26"/>
          <w:szCs w:val="26"/>
        </w:rPr>
      </w:pPr>
      <w:r w:rsidDel="00000000" w:rsidR="00000000" w:rsidRPr="00000000">
        <w:rPr>
          <w:b w:val="1"/>
          <w:bCs w:val="1"/>
          <w:sz w:val="26"/>
          <w:szCs w:val="26"/>
          <w:rtl w:val="0"/>
        </w:rPr>
        <w:t xml:space="preserve">Risk Assessment Engine:</w:t>
      </w:r>
      <w:r w:rsidDel="00000000" w:rsidR="00000000" w:rsidRPr="00000000">
        <w:rPr>
          <w:sz w:val="26"/>
          <w:szCs w:val="26"/>
          <w:rtl w:val="0"/>
        </w:rPr>
        <w:t xml:space="preserve"> A quantitative evaluation layer that stresses historical portfolios against downside deviations and macroeconomic crashes.</w:t>
      </w:r>
    </w:p>
    <w:p w:rsidR="00000000" w:rsidDel="00000000" w:rsidP="00000000" w:rsidRDefault="00000000" w:rsidRPr="00000000" w14:paraId="00000012">
      <w:pPr>
        <w:pStyle w:val="Heading3"/>
        <w:keepNext w:val="0"/>
        <w:keepLines w:val="0"/>
        <w:spacing w:before="0" w:lineRule="auto"/>
        <w:rPr>
          <w:b w:val="1"/>
          <w:bCs w:val="1"/>
          <w:color w:val="000000"/>
          <w:sz w:val="30"/>
          <w:szCs w:val="30"/>
        </w:rPr>
      </w:pPr>
      <w:bookmarkStart w:colFirst="0" w:colLast="0" w:name="_xew7mezgk0jh" w:id="1"/>
      <w:bookmarkEnd w:id="1"/>
      <w:r w:rsidDel="00000000" w:rsidR="00000000" w:rsidRPr="00000000">
        <w:rPr>
          <w:b w:val="1"/>
          <w:bCs w:val="1"/>
          <w:color w:val="000000"/>
          <w:sz w:val="30"/>
          <w:szCs w:val="30"/>
          <w:rtl w:val="0"/>
        </w:rPr>
        <w:t xml:space="preserve">Dataset Description &amp; Preprocessing</w:t>
      </w:r>
    </w:p>
    <w:p w:rsidR="00000000" w:rsidDel="00000000" w:rsidP="00000000" w:rsidRDefault="00000000" w:rsidRPr="00000000" w14:paraId="00000013">
      <w:pPr>
        <w:spacing w:after="240" w:lineRule="auto"/>
        <w:rPr>
          <w:b w:val="1"/>
          <w:bCs w:val="1"/>
          <w:sz w:val="26"/>
          <w:szCs w:val="26"/>
        </w:rPr>
      </w:pPr>
      <w:r w:rsidDel="00000000" w:rsidR="00000000" w:rsidRPr="00000000">
        <w:rPr>
          <w:b w:val="1"/>
          <w:bCs w:val="1"/>
          <w:sz w:val="26"/>
          <w:szCs w:val="26"/>
          <w:rtl w:val="0"/>
        </w:rPr>
        <w:t xml:space="preserve">2.1. Dataset Ingestion</w:t>
      </w:r>
    </w:p>
    <w:p w:rsidR="00000000" w:rsidDel="00000000" w:rsidP="00000000" w:rsidRDefault="00000000" w:rsidRPr="00000000" w14:paraId="00000014">
      <w:pPr>
        <w:spacing w:after="240" w:lineRule="auto"/>
        <w:rPr>
          <w:sz w:val="26"/>
          <w:szCs w:val="26"/>
        </w:rPr>
      </w:pPr>
      <w:r w:rsidDel="00000000" w:rsidR="00000000" w:rsidRPr="00000000">
        <w:rPr>
          <w:sz w:val="26"/>
          <w:szCs w:val="26"/>
          <w:rtl w:val="0"/>
        </w:rPr>
        <w:t xml:space="preserve">The foundation of this platform is the </w:t>
      </w:r>
      <w:r w:rsidDel="00000000" w:rsidR="00000000" w:rsidRPr="00000000">
        <w:rPr>
          <w:color w:val="188038"/>
          <w:sz w:val="26"/>
          <w:szCs w:val="26"/>
          <w:rtl w:val="0"/>
        </w:rPr>
        <w:t xml:space="preserve">NIFTY50_all.csv</w:t>
      </w:r>
      <w:r w:rsidDel="00000000" w:rsidR="00000000" w:rsidRPr="00000000">
        <w:rPr>
          <w:sz w:val="26"/>
          <w:szCs w:val="26"/>
          <w:rtl w:val="0"/>
        </w:rPr>
        <w:t xml:space="preserve"> master dataset, encompassing 235,192 rows of daily trading data across 65 unique corporate symbols (accounting for the dynamic rebalancing of the NIFTY-50 index over two decades). This was joined via relational mapping to </w:t>
      </w:r>
      <w:r w:rsidDel="00000000" w:rsidR="00000000" w:rsidRPr="00000000">
        <w:rPr>
          <w:color w:val="188038"/>
          <w:sz w:val="26"/>
          <w:szCs w:val="26"/>
          <w:rtl w:val="0"/>
        </w:rPr>
        <w:t xml:space="preserve">stock_metadata.csv</w:t>
      </w:r>
      <w:r w:rsidDel="00000000" w:rsidR="00000000" w:rsidRPr="00000000">
        <w:rPr>
          <w:sz w:val="26"/>
          <w:szCs w:val="26"/>
          <w:rtl w:val="0"/>
        </w:rPr>
        <w:t xml:space="preserve"> to append macro-industry classifications.</w:t>
      </w:r>
    </w:p>
    <w:p w:rsidR="00000000" w:rsidDel="00000000" w:rsidP="00000000" w:rsidRDefault="00000000" w:rsidRPr="00000000" w14:paraId="00000015">
      <w:pPr>
        <w:spacing w:after="240" w:lineRule="auto"/>
        <w:rPr>
          <w:b w:val="1"/>
          <w:bCs w:val="1"/>
          <w:sz w:val="26"/>
          <w:szCs w:val="26"/>
        </w:rPr>
      </w:pPr>
      <w:r w:rsidDel="00000000" w:rsidR="00000000" w:rsidRPr="00000000">
        <w:rPr>
          <w:b w:val="1"/>
          <w:bCs w:val="1"/>
          <w:sz w:val="26"/>
          <w:szCs w:val="26"/>
          <w:rtl w:val="0"/>
        </w:rPr>
        <w:t xml:space="preserve">2.2. Data Cleaning and Temporal Alignment</w:t>
      </w:r>
    </w:p>
    <w:p w:rsidR="00000000" w:rsidDel="00000000" w:rsidP="00000000" w:rsidRDefault="00000000" w:rsidRPr="00000000" w14:paraId="00000016">
      <w:pPr>
        <w:spacing w:after="240" w:lineRule="auto"/>
        <w:rPr>
          <w:sz w:val="26"/>
          <w:szCs w:val="26"/>
        </w:rPr>
      </w:pPr>
      <w:r w:rsidDel="00000000" w:rsidR="00000000" w:rsidRPr="00000000">
        <w:rPr>
          <w:sz w:val="26"/>
          <w:szCs w:val="26"/>
          <w:rtl w:val="0"/>
        </w:rPr>
        <w:t xml:space="preserve">Financial time-series data is notoriously subject to survivorship bias and reporting inconsistencies.</w:t>
      </w:r>
    </w:p>
    <w:p w:rsidR="00000000" w:rsidDel="00000000" w:rsidP="00000000" w:rsidRDefault="00000000" w:rsidRPr="00000000" w14:paraId="00000017">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Missing Value Imputation:</w:t>
      </w:r>
      <w:r w:rsidDel="00000000" w:rsidR="00000000" w:rsidRPr="00000000">
        <w:rPr>
          <w:sz w:val="26"/>
          <w:szCs w:val="26"/>
          <w:rtl w:val="0"/>
        </w:rPr>
        <w:t xml:space="preserve"> Analysis revealed substantial null values primarily clustered in the early 2000s, specifically regarding trading volume and specific execution metrics (</w:t>
      </w:r>
      <w:r w:rsidDel="00000000" w:rsidR="00000000" w:rsidRPr="00000000">
        <w:rPr>
          <w:color w:val="188038"/>
          <w:sz w:val="26"/>
          <w:szCs w:val="26"/>
          <w:rtl w:val="0"/>
        </w:rPr>
        <w:t xml:space="preserve">Deliverable Volume</w:t>
      </w:r>
      <w:r w:rsidDel="00000000" w:rsidR="00000000" w:rsidRPr="00000000">
        <w:rPr>
          <w:sz w:val="26"/>
          <w:szCs w:val="26"/>
          <w:rtl w:val="0"/>
        </w:rPr>
        <w:t xml:space="preserve">, </w:t>
      </w:r>
      <w:r w:rsidDel="00000000" w:rsidR="00000000" w:rsidRPr="00000000">
        <w:rPr>
          <w:color w:val="188038"/>
          <w:sz w:val="26"/>
          <w:szCs w:val="26"/>
          <w:rtl w:val="0"/>
        </w:rPr>
        <w:t xml:space="preserve">%Deliverble</w:t>
      </w:r>
      <w:r w:rsidDel="00000000" w:rsidR="00000000" w:rsidRPr="00000000">
        <w:rPr>
          <w:sz w:val="26"/>
          <w:szCs w:val="26"/>
          <w:rtl w:val="0"/>
        </w:rPr>
        <w:t xml:space="preserve">) before modern NSE tracking systems were fully operational. Null values in non-critical columns were dropped, while critical price gaps were handled via forward-filling to prevent data leakage.</w:t>
      </w:r>
    </w:p>
    <w:p w:rsidR="00000000" w:rsidDel="00000000" w:rsidP="00000000" w:rsidRDefault="00000000" w:rsidRPr="00000000" w14:paraId="00000018">
      <w:pPr>
        <w:numPr>
          <w:ilvl w:val="0"/>
          <w:numId w:val="1"/>
        </w:numPr>
        <w:spacing w:after="240" w:lineRule="auto"/>
        <w:ind w:left="720" w:hanging="360"/>
        <w:rPr>
          <w:sz w:val="26"/>
          <w:szCs w:val="26"/>
        </w:rPr>
      </w:pPr>
      <w:r w:rsidDel="00000000" w:rsidR="00000000" w:rsidRPr="00000000">
        <w:rPr>
          <w:b w:val="1"/>
          <w:bCs w:val="1"/>
          <w:sz w:val="26"/>
          <w:szCs w:val="26"/>
          <w:rtl w:val="0"/>
        </w:rPr>
        <w:t xml:space="preserve">Chronological Integrity:</w:t>
      </w:r>
      <w:r w:rsidDel="00000000" w:rsidR="00000000" w:rsidRPr="00000000">
        <w:rPr>
          <w:sz w:val="26"/>
          <w:szCs w:val="26"/>
          <w:rtl w:val="0"/>
        </w:rPr>
        <w:t xml:space="preserve"> For the machine learning pipeline, temporal integrity is paramount. Data was strictly sorted by </w:t>
      </w:r>
      <w:r w:rsidDel="00000000" w:rsidR="00000000" w:rsidRPr="00000000">
        <w:rPr>
          <w:color w:val="188038"/>
          <w:sz w:val="26"/>
          <w:szCs w:val="26"/>
          <w:rtl w:val="0"/>
        </w:rPr>
        <w:t xml:space="preserve">Symbol</w:t>
      </w:r>
      <w:r w:rsidDel="00000000" w:rsidR="00000000" w:rsidRPr="00000000">
        <w:rPr>
          <w:sz w:val="26"/>
          <w:szCs w:val="26"/>
          <w:rtl w:val="0"/>
        </w:rPr>
        <w:t xml:space="preserve"> and </w:t>
      </w:r>
      <w:r w:rsidDel="00000000" w:rsidR="00000000" w:rsidRPr="00000000">
        <w:rPr>
          <w:color w:val="188038"/>
          <w:sz w:val="26"/>
          <w:szCs w:val="26"/>
          <w:rtl w:val="0"/>
        </w:rPr>
        <w:t xml:space="preserve">Date</w:t>
      </w:r>
      <w:r w:rsidDel="00000000" w:rsidR="00000000" w:rsidRPr="00000000">
        <w:rPr>
          <w:sz w:val="26"/>
          <w:szCs w:val="26"/>
          <w:rtl w:val="0"/>
        </w:rPr>
        <w:t xml:space="preserve"> to ensure that lagged features (like rolling averages) did not inadvertently look into the future.</w:t>
      </w:r>
    </w:p>
    <w:p w:rsidR="00000000" w:rsidDel="00000000" w:rsidP="00000000" w:rsidRDefault="00000000" w:rsidRPr="00000000" w14:paraId="00000019">
      <w:pPr>
        <w:pStyle w:val="Heading3"/>
        <w:keepNext w:val="0"/>
        <w:keepLines w:val="0"/>
        <w:spacing w:before="0" w:lineRule="auto"/>
        <w:rPr>
          <w:b w:val="1"/>
          <w:bCs w:val="1"/>
          <w:color w:val="000000"/>
          <w:sz w:val="30"/>
          <w:szCs w:val="30"/>
        </w:rPr>
      </w:pPr>
      <w:bookmarkStart w:colFirst="0" w:colLast="0" w:name="_hlxkp8bldw52" w:id="2"/>
      <w:bookmarkEnd w:id="2"/>
      <w:r w:rsidDel="00000000" w:rsidR="00000000" w:rsidRPr="00000000">
        <w:rPr>
          <w:b w:val="1"/>
          <w:bCs w:val="1"/>
          <w:color w:val="000000"/>
          <w:sz w:val="30"/>
          <w:szCs w:val="30"/>
          <w:rtl w:val="0"/>
        </w:rPr>
        <w:t xml:space="preserve">Exploratory Data Analysis &amp; Macro-Trends</w:t>
      </w:r>
    </w:p>
    <w:p w:rsidR="00000000" w:rsidDel="00000000" w:rsidP="00000000" w:rsidRDefault="00000000" w:rsidRPr="00000000" w14:paraId="0000001A">
      <w:pPr>
        <w:spacing w:after="240" w:lineRule="auto"/>
        <w:rPr>
          <w:b w:val="1"/>
          <w:bCs w:val="1"/>
          <w:sz w:val="26"/>
          <w:szCs w:val="26"/>
        </w:rPr>
      </w:pPr>
      <w:r w:rsidDel="00000000" w:rsidR="00000000" w:rsidRPr="00000000">
        <w:rPr>
          <w:b w:val="1"/>
          <w:bCs w:val="1"/>
          <w:sz w:val="26"/>
          <w:szCs w:val="26"/>
          <w:rtl w:val="0"/>
        </w:rPr>
        <w:t xml:space="preserve">3.1. Grand Macro-Sector Analysis (2000-2021)</w:t>
      </w:r>
    </w:p>
    <w:p w:rsidR="00000000" w:rsidDel="00000000" w:rsidP="00000000" w:rsidRDefault="00000000" w:rsidRPr="00000000" w14:paraId="0000001B">
      <w:pPr>
        <w:spacing w:after="240" w:lineRule="auto"/>
        <w:rPr>
          <w:sz w:val="26"/>
          <w:szCs w:val="26"/>
        </w:rPr>
      </w:pPr>
      <w:r w:rsidDel="00000000" w:rsidR="00000000" w:rsidRPr="00000000">
        <w:rPr>
          <w:sz w:val="26"/>
          <w:szCs w:val="26"/>
          <w:rtl w:val="0"/>
        </w:rPr>
        <w:t xml:space="preserve">Before predicting individual stock movements, an intelligence platform must understand broader market regimes. An algorithm was deployed to group all 21 years of daily trading data by Industry, calculating the average annualized returns and annualized volatility (risk).</w:t>
      </w:r>
    </w:p>
    <w:p w:rsidR="00000000" w:rsidDel="00000000" w:rsidP="00000000" w:rsidRDefault="00000000" w:rsidRPr="00000000" w14:paraId="0000001C">
      <w:pPr>
        <w:spacing w:after="240" w:lineRule="auto"/>
        <w:rPr>
          <w:b w:val="1"/>
          <w:bCs w:val="1"/>
          <w:sz w:val="26"/>
          <w:szCs w:val="26"/>
        </w:rPr>
      </w:pPr>
      <w:r w:rsidDel="00000000" w:rsidR="00000000" w:rsidRPr="00000000">
        <w:rPr>
          <w:b w:val="1"/>
          <w:bCs w:val="1"/>
          <w:sz w:val="26"/>
          <w:szCs w:val="26"/>
          <w:rtl w:val="0"/>
        </w:rPr>
        <w:t xml:space="preserve">Table 1: NIFTY 50 Industry Risk/Reward Profile (Top Sectors)</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040"/>
        <w:gridCol w:w="2130"/>
        <w:gridCol w:w="2265"/>
        <w:tblGridChange w:id="0">
          <w:tblGrid>
            <w:gridCol w:w="2535"/>
            <w:gridCol w:w="2040"/>
            <w:gridCol w:w="2130"/>
            <w:gridCol w:w="22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6"/>
                <w:szCs w:val="26"/>
              </w:rPr>
            </w:pPr>
            <w:r w:rsidDel="00000000" w:rsidR="00000000" w:rsidRPr="00000000">
              <w:rPr>
                <w:b w:val="1"/>
                <w:bCs w:val="1"/>
                <w:sz w:val="26"/>
                <w:szCs w:val="26"/>
                <w:rtl w:val="0"/>
              </w:rPr>
              <w:t xml:space="preserve">Industry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sz w:val="26"/>
                <w:szCs w:val="26"/>
              </w:rPr>
            </w:pPr>
            <w:r w:rsidDel="00000000" w:rsidR="00000000" w:rsidRPr="00000000">
              <w:rPr>
                <w:b w:val="1"/>
                <w:bCs w:val="1"/>
                <w:sz w:val="26"/>
                <w:szCs w:val="26"/>
                <w:rtl w:val="0"/>
              </w:rPr>
              <w:t xml:space="preserve">Annualized Return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6"/>
                <w:szCs w:val="26"/>
              </w:rPr>
            </w:pPr>
            <w:r w:rsidDel="00000000" w:rsidR="00000000" w:rsidRPr="00000000">
              <w:rPr>
                <w:b w:val="1"/>
                <w:bCs w:val="1"/>
                <w:sz w:val="26"/>
                <w:szCs w:val="26"/>
                <w:rtl w:val="0"/>
              </w:rPr>
              <w:t xml:space="preserve">Annualized Volatility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sz w:val="26"/>
                <w:szCs w:val="26"/>
              </w:rPr>
            </w:pPr>
            <w:r w:rsidDel="00000000" w:rsidR="00000000" w:rsidRPr="00000000">
              <w:rPr>
                <w:b w:val="1"/>
                <w:bCs w:val="1"/>
                <w:sz w:val="26"/>
                <w:szCs w:val="26"/>
                <w:rtl w:val="0"/>
              </w:rPr>
              <w:t xml:space="preserve">Sharpe Ratio (6% Risk-Free)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sz w:val="26"/>
                <w:szCs w:val="26"/>
              </w:rPr>
            </w:pPr>
            <w:r w:rsidDel="00000000" w:rsidR="00000000" w:rsidRPr="00000000">
              <w:rPr>
                <w:b w:val="1"/>
                <w:bCs w:val="1"/>
                <w:sz w:val="26"/>
                <w:szCs w:val="26"/>
                <w:rtl w:val="0"/>
              </w:rPr>
              <w:t xml:space="preserve">Cement &amp; Cement Products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sz w:val="26"/>
                <w:szCs w:val="26"/>
              </w:rPr>
            </w:pPr>
            <w:r w:rsidDel="00000000" w:rsidR="00000000" w:rsidRPr="00000000">
              <w:rPr>
                <w:sz w:val="26"/>
                <w:szCs w:val="26"/>
                <w:rtl w:val="0"/>
              </w:rPr>
              <w:t xml:space="preserve">26.09%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sz w:val="26"/>
                <w:szCs w:val="26"/>
              </w:rPr>
            </w:pPr>
            <w:r w:rsidDel="00000000" w:rsidR="00000000" w:rsidRPr="00000000">
              <w:rPr>
                <w:sz w:val="26"/>
                <w:szCs w:val="26"/>
                <w:rtl w:val="0"/>
              </w:rPr>
              <w:t xml:space="preserve">37.65%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sz w:val="26"/>
                <w:szCs w:val="26"/>
              </w:rPr>
            </w:pPr>
            <w:r w:rsidDel="00000000" w:rsidR="00000000" w:rsidRPr="00000000">
              <w:rPr>
                <w:sz w:val="26"/>
                <w:szCs w:val="26"/>
                <w:rtl w:val="0"/>
              </w:rPr>
              <w:t xml:space="preserve">0.53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sz w:val="26"/>
                <w:szCs w:val="26"/>
              </w:rPr>
            </w:pPr>
            <w:r w:rsidDel="00000000" w:rsidR="00000000" w:rsidRPr="00000000">
              <w:rPr>
                <w:b w:val="1"/>
                <w:bCs w:val="1"/>
                <w:sz w:val="26"/>
                <w:szCs w:val="26"/>
                <w:rtl w:val="0"/>
              </w:rPr>
              <w:t xml:space="preserve">Services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6"/>
                <w:szCs w:val="26"/>
              </w:rPr>
            </w:pPr>
            <w:r w:rsidDel="00000000" w:rsidR="00000000" w:rsidRPr="00000000">
              <w:rPr>
                <w:sz w:val="26"/>
                <w:szCs w:val="26"/>
                <w:rtl w:val="0"/>
              </w:rPr>
              <w:t xml:space="preserve">25.41%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6"/>
                <w:szCs w:val="26"/>
              </w:rPr>
            </w:pPr>
            <w:r w:rsidDel="00000000" w:rsidR="00000000" w:rsidRPr="00000000">
              <w:rPr>
                <w:sz w:val="26"/>
                <w:szCs w:val="26"/>
                <w:rtl w:val="0"/>
              </w:rPr>
              <w:t xml:space="preserve">38.18%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26"/>
                <w:szCs w:val="26"/>
              </w:rPr>
            </w:pPr>
            <w:r w:rsidDel="00000000" w:rsidR="00000000" w:rsidRPr="00000000">
              <w:rPr>
                <w:sz w:val="26"/>
                <w:szCs w:val="26"/>
                <w:rtl w:val="0"/>
              </w:rPr>
              <w:t xml:space="preserve">0.51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sz w:val="26"/>
                <w:szCs w:val="26"/>
              </w:rPr>
            </w:pPr>
            <w:r w:rsidDel="00000000" w:rsidR="00000000" w:rsidRPr="00000000">
              <w:rPr>
                <w:b w:val="1"/>
                <w:bCs w:val="1"/>
                <w:sz w:val="26"/>
                <w:szCs w:val="26"/>
                <w:rtl w:val="0"/>
              </w:rPr>
              <w:t xml:space="preserve">Financial Services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sz w:val="26"/>
                <w:szCs w:val="26"/>
              </w:rPr>
            </w:pPr>
            <w:r w:rsidDel="00000000" w:rsidR="00000000" w:rsidRPr="00000000">
              <w:rPr>
                <w:sz w:val="26"/>
                <w:szCs w:val="26"/>
                <w:rtl w:val="0"/>
              </w:rPr>
              <w:t xml:space="preserve">24.05%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sz w:val="26"/>
                <w:szCs w:val="26"/>
              </w:rPr>
            </w:pPr>
            <w:r w:rsidDel="00000000" w:rsidR="00000000" w:rsidRPr="00000000">
              <w:rPr>
                <w:sz w:val="26"/>
                <w:szCs w:val="26"/>
                <w:rtl w:val="0"/>
              </w:rPr>
              <w:t xml:space="preserve">44.74%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sz w:val="26"/>
                <w:szCs w:val="26"/>
              </w:rPr>
            </w:pPr>
            <w:r w:rsidDel="00000000" w:rsidR="00000000" w:rsidRPr="00000000">
              <w:rPr>
                <w:sz w:val="26"/>
                <w:szCs w:val="26"/>
                <w:rtl w:val="0"/>
              </w:rPr>
              <w:t xml:space="preserve">0.40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sz w:val="26"/>
                <w:szCs w:val="26"/>
              </w:rPr>
            </w:pPr>
            <w:r w:rsidDel="00000000" w:rsidR="00000000" w:rsidRPr="00000000">
              <w:rPr>
                <w:b w:val="1"/>
                <w:bCs w:val="1"/>
                <w:sz w:val="26"/>
                <w:szCs w:val="26"/>
                <w:rtl w:val="0"/>
              </w:rPr>
              <w:t xml:space="preserve">Consumer Goods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sz w:val="26"/>
                <w:szCs w:val="26"/>
              </w:rPr>
            </w:pPr>
            <w:r w:rsidDel="00000000" w:rsidR="00000000" w:rsidRPr="00000000">
              <w:rPr>
                <w:sz w:val="26"/>
                <w:szCs w:val="26"/>
                <w:rtl w:val="0"/>
              </w:rPr>
              <w:t xml:space="preserve">19.02%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sz w:val="26"/>
                <w:szCs w:val="26"/>
              </w:rPr>
            </w:pPr>
            <w:r w:rsidDel="00000000" w:rsidR="00000000" w:rsidRPr="00000000">
              <w:rPr>
                <w:sz w:val="26"/>
                <w:szCs w:val="26"/>
                <w:rtl w:val="0"/>
              </w:rPr>
              <w:t xml:space="preserve">37.28%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sz w:val="26"/>
                <w:szCs w:val="26"/>
              </w:rPr>
            </w:pPr>
            <w:r w:rsidDel="00000000" w:rsidR="00000000" w:rsidRPr="00000000">
              <w:rPr>
                <w:sz w:val="26"/>
                <w:szCs w:val="26"/>
                <w:rtl w:val="0"/>
              </w:rPr>
              <w:t xml:space="preserve">0.35</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sz w:val="26"/>
                <w:szCs w:val="26"/>
              </w:rPr>
            </w:pPr>
            <w:r w:rsidDel="00000000" w:rsidR="00000000" w:rsidRPr="00000000">
              <w:rPr>
                <w:b w:val="1"/>
                <w:bCs w:val="1"/>
                <w:sz w:val="26"/>
                <w:szCs w:val="26"/>
                <w:rtl w:val="0"/>
              </w:rPr>
              <w:t xml:space="preserve">Information Technology (IT)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sz w:val="26"/>
                <w:szCs w:val="26"/>
              </w:rPr>
            </w:pPr>
            <w:r w:rsidDel="00000000" w:rsidR="00000000" w:rsidRPr="00000000">
              <w:rPr>
                <w:sz w:val="26"/>
                <w:szCs w:val="26"/>
                <w:rtl w:val="0"/>
              </w:rPr>
              <w:t xml:space="preserve">10.60%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sz w:val="26"/>
                <w:szCs w:val="26"/>
              </w:rPr>
            </w:pPr>
            <w:r w:rsidDel="00000000" w:rsidR="00000000" w:rsidRPr="00000000">
              <w:rPr>
                <w:sz w:val="26"/>
                <w:szCs w:val="26"/>
                <w:rtl w:val="0"/>
              </w:rPr>
              <w:t xml:space="preserve">45.77%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sz w:val="26"/>
                <w:szCs w:val="26"/>
              </w:rPr>
            </w:pPr>
            <w:r w:rsidDel="00000000" w:rsidR="00000000" w:rsidRPr="00000000">
              <w:rPr>
                <w:sz w:val="26"/>
                <w:szCs w:val="26"/>
                <w:rtl w:val="0"/>
              </w:rPr>
              <w:t xml:space="preserve">0.10</w:t>
            </w:r>
          </w:p>
        </w:tc>
      </w:tr>
    </w:tbl>
    <w:p w:rsidR="00000000" w:rsidDel="00000000" w:rsidP="00000000" w:rsidRDefault="00000000" w:rsidRPr="00000000" w14:paraId="00000035">
      <w:pPr>
        <w:spacing w:after="240" w:lineRule="auto"/>
        <w:rPr>
          <w:b w:val="1"/>
          <w:bCs w:val="1"/>
          <w:sz w:val="26"/>
          <w:szCs w:val="26"/>
        </w:rPr>
      </w:pPr>
      <w:r w:rsidDel="00000000" w:rsidR="00000000" w:rsidRPr="00000000">
        <w:rPr>
          <w:b w:val="1"/>
          <w:bCs w:val="1"/>
          <w:sz w:val="26"/>
          <w:szCs w:val="26"/>
          <w:rtl w:val="0"/>
        </w:rPr>
        <w:t xml:space="preserve">3.2. Insights Derived for Decision Support</w:t>
      </w:r>
    </w:p>
    <w:p w:rsidR="00000000" w:rsidDel="00000000" w:rsidP="00000000" w:rsidRDefault="00000000" w:rsidRPr="00000000" w14:paraId="00000036">
      <w:pPr>
        <w:spacing w:after="240" w:lineRule="auto"/>
        <w:rPr>
          <w:sz w:val="26"/>
          <w:szCs w:val="26"/>
        </w:rPr>
      </w:pPr>
      <w:r w:rsidDel="00000000" w:rsidR="00000000" w:rsidRPr="00000000">
        <w:rPr>
          <w:sz w:val="26"/>
          <w:szCs w:val="26"/>
          <w:rtl w:val="0"/>
        </w:rPr>
        <w:t xml:space="preserve">The EDA dismantled several retail investing heuristics:</w:t>
      </w:r>
    </w:p>
    <w:p w:rsidR="00000000" w:rsidDel="00000000" w:rsidP="00000000" w:rsidRDefault="00000000" w:rsidRPr="00000000" w14:paraId="00000037">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The Infrastructure Alpha:</w:t>
      </w:r>
      <w:r w:rsidDel="00000000" w:rsidR="00000000" w:rsidRPr="00000000">
        <w:rPr>
          <w:sz w:val="26"/>
          <w:szCs w:val="26"/>
          <w:rtl w:val="0"/>
        </w:rPr>
        <w:t xml:space="preserve"> The </w:t>
      </w:r>
      <w:r w:rsidDel="00000000" w:rsidR="00000000" w:rsidRPr="00000000">
        <w:rPr>
          <w:i w:val="1"/>
          <w:iCs w:val="1"/>
          <w:sz w:val="26"/>
          <w:szCs w:val="26"/>
          <w:rtl w:val="0"/>
        </w:rPr>
        <w:t xml:space="preserve">Cement</w:t>
      </w:r>
      <w:r w:rsidDel="00000000" w:rsidR="00000000" w:rsidRPr="00000000">
        <w:rPr>
          <w:sz w:val="26"/>
          <w:szCs w:val="26"/>
          <w:rtl w:val="0"/>
        </w:rPr>
        <w:t xml:space="preserve"> sector offered the highest historical risk-adjusted return across the NIFTY 50. This correlates with India's aggressive infrastructure and real estate boom spanning the analyzed two decades.</w:t>
      </w:r>
    </w:p>
    <w:p w:rsidR="00000000" w:rsidDel="00000000" w:rsidP="00000000" w:rsidRDefault="00000000" w:rsidRPr="00000000" w14:paraId="00000038">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The Defensive Anchor:</w:t>
      </w:r>
      <w:r w:rsidDel="00000000" w:rsidR="00000000" w:rsidRPr="00000000">
        <w:rPr>
          <w:sz w:val="26"/>
          <w:szCs w:val="26"/>
          <w:rtl w:val="0"/>
        </w:rPr>
        <w:t xml:space="preserve"> </w:t>
      </w:r>
      <w:r w:rsidDel="00000000" w:rsidR="00000000" w:rsidRPr="00000000">
        <w:rPr>
          <w:i w:val="1"/>
          <w:iCs w:val="1"/>
          <w:sz w:val="26"/>
          <w:szCs w:val="26"/>
          <w:rtl w:val="0"/>
        </w:rPr>
        <w:t xml:space="preserve">Consumer Goods</w:t>
      </w:r>
      <w:r w:rsidDel="00000000" w:rsidR="00000000" w:rsidRPr="00000000">
        <w:rPr>
          <w:sz w:val="26"/>
          <w:szCs w:val="26"/>
          <w:rtl w:val="0"/>
        </w:rPr>
        <w:t xml:space="preserve"> exhibited the absolute lowest sector-wide volatility (37.28%), making it the mathematical anchor for conservative portfolio construction during market downturns.</w:t>
      </w:r>
    </w:p>
    <w:p w:rsidR="00000000" w:rsidDel="00000000" w:rsidP="00000000" w:rsidRDefault="00000000" w:rsidRPr="00000000" w14:paraId="00000039">
      <w:pPr>
        <w:numPr>
          <w:ilvl w:val="0"/>
          <w:numId w:val="3"/>
        </w:numPr>
        <w:spacing w:after="240" w:lineRule="auto"/>
        <w:ind w:left="720" w:hanging="360"/>
        <w:rPr>
          <w:sz w:val="26"/>
          <w:szCs w:val="26"/>
        </w:rPr>
      </w:pPr>
      <w:r w:rsidDel="00000000" w:rsidR="00000000" w:rsidRPr="00000000">
        <w:rPr>
          <w:b w:val="1"/>
          <w:bCs w:val="1"/>
          <w:sz w:val="26"/>
          <w:szCs w:val="26"/>
          <w:rtl w:val="0"/>
        </w:rPr>
        <w:t xml:space="preserve">The IT Volatility Trap:</w:t>
      </w:r>
      <w:r w:rsidDel="00000000" w:rsidR="00000000" w:rsidRPr="00000000">
        <w:rPr>
          <w:sz w:val="26"/>
          <w:szCs w:val="26"/>
          <w:rtl w:val="0"/>
        </w:rPr>
        <w:t xml:space="preserve"> Despite immense growth narratives, the </w:t>
      </w:r>
      <w:r w:rsidDel="00000000" w:rsidR="00000000" w:rsidRPr="00000000">
        <w:rPr>
          <w:i w:val="1"/>
          <w:iCs w:val="1"/>
          <w:sz w:val="26"/>
          <w:szCs w:val="26"/>
          <w:rtl w:val="0"/>
        </w:rPr>
        <w:t xml:space="preserve">IT sector</w:t>
      </w:r>
      <w:r w:rsidDel="00000000" w:rsidR="00000000" w:rsidRPr="00000000">
        <w:rPr>
          <w:sz w:val="26"/>
          <w:szCs w:val="26"/>
          <w:rtl w:val="0"/>
        </w:rPr>
        <w:t xml:space="preserve"> exhibited massive historical volatility (45.77%), largely due to the early 2000s Dot-Com crash and subsequent 2008 financial crisis exposures, pulling down its long-term risk-adjusted score.</w:t>
      </w:r>
    </w:p>
    <w:p w:rsidR="00000000" w:rsidDel="00000000" w:rsidP="00000000" w:rsidRDefault="00000000" w:rsidRPr="00000000" w14:paraId="0000003A">
      <w:pPr>
        <w:pStyle w:val="Heading3"/>
        <w:keepNext w:val="0"/>
        <w:keepLines w:val="0"/>
        <w:spacing w:before="0" w:lineRule="auto"/>
        <w:rPr>
          <w:b w:val="1"/>
          <w:bCs w:val="1"/>
          <w:color w:val="000000"/>
          <w:sz w:val="30"/>
          <w:szCs w:val="30"/>
        </w:rPr>
      </w:pPr>
      <w:bookmarkStart w:colFirst="0" w:colLast="0" w:name="_2nbo1bprswrd" w:id="3"/>
      <w:bookmarkEnd w:id="3"/>
      <w:r w:rsidDel="00000000" w:rsidR="00000000" w:rsidRPr="00000000">
        <w:rPr>
          <w:b w:val="1"/>
          <w:bCs w:val="1"/>
          <w:color w:val="000000"/>
          <w:sz w:val="30"/>
          <w:szCs w:val="30"/>
          <w:rtl w:val="0"/>
        </w:rPr>
        <w:t xml:space="preserve">Feature Engineering &amp; Technical Indicators</w:t>
      </w:r>
    </w:p>
    <w:p w:rsidR="00000000" w:rsidDel="00000000" w:rsidP="00000000" w:rsidRDefault="00000000" w:rsidRPr="00000000" w14:paraId="0000003B">
      <w:pPr>
        <w:spacing w:after="240" w:lineRule="auto"/>
        <w:rPr>
          <w:b w:val="1"/>
          <w:bCs w:val="1"/>
          <w:sz w:val="26"/>
          <w:szCs w:val="26"/>
        </w:rPr>
      </w:pPr>
      <w:r w:rsidDel="00000000" w:rsidR="00000000" w:rsidRPr="00000000">
        <w:rPr>
          <w:b w:val="1"/>
          <w:bCs w:val="1"/>
          <w:sz w:val="26"/>
          <w:szCs w:val="26"/>
          <w:rtl w:val="0"/>
        </w:rPr>
        <w:t xml:space="preserve">4.1. Mathematical Transformations</w:t>
      </w:r>
    </w:p>
    <w:p w:rsidR="00000000" w:rsidDel="00000000" w:rsidP="00000000" w:rsidRDefault="00000000" w:rsidRPr="00000000" w14:paraId="0000003C">
      <w:pPr>
        <w:spacing w:after="240" w:lineRule="auto"/>
        <w:rPr>
          <w:sz w:val="26"/>
          <w:szCs w:val="26"/>
        </w:rPr>
      </w:pPr>
      <w:r w:rsidDel="00000000" w:rsidR="00000000" w:rsidRPr="00000000">
        <w:rPr>
          <w:sz w:val="26"/>
          <w:szCs w:val="26"/>
          <w:rtl w:val="0"/>
        </w:rPr>
        <w:t xml:space="preserve">Raw price data is non-stationary. To prepare the dataset for supervised learning, the following technical indicators were mathematically derived to capture momentum, trend, and volatility:</w:t>
      </w:r>
    </w:p>
    <w:p w:rsidR="00000000" w:rsidDel="00000000" w:rsidP="00000000" w:rsidRDefault="00000000" w:rsidRPr="00000000" w14:paraId="0000003D">
      <w:pPr>
        <w:spacing w:after="240" w:lineRule="auto"/>
        <w:rPr>
          <w:b w:val="1"/>
          <w:bCs w:val="1"/>
          <w:sz w:val="26"/>
          <w:szCs w:val="26"/>
        </w:rPr>
      </w:pPr>
      <w:r w:rsidDel="00000000" w:rsidR="00000000" w:rsidRPr="00000000">
        <w:rPr>
          <w:b w:val="1"/>
          <w:bCs w:val="1"/>
          <w:sz w:val="26"/>
          <w:szCs w:val="26"/>
          <w:rtl w:val="0"/>
        </w:rPr>
        <w:t xml:space="preserve">Simple Moving Averages (SMA):</w:t>
      </w:r>
    </w:p>
    <w:p w:rsidR="00000000" w:rsidDel="00000000" w:rsidP="00000000" w:rsidRDefault="00000000" w:rsidRPr="00000000" w14:paraId="0000003E">
      <w:pPr>
        <w:spacing w:after="240" w:lineRule="auto"/>
        <w:rPr>
          <w:sz w:val="26"/>
          <w:szCs w:val="26"/>
        </w:rPr>
      </w:pPr>
      <w:r w:rsidDel="00000000" w:rsidR="00000000" w:rsidRPr="00000000">
        <w:rPr>
          <w:sz w:val="26"/>
          <w:szCs w:val="26"/>
          <w:rtl w:val="0"/>
        </w:rPr>
        <w:t xml:space="preserve">Used to identify support/resistance levels and smooth out short-term price fluctuations. 50-day and 200-day SMAs were computed.</w:t>
      </w:r>
    </w:p>
    <w:p w:rsidR="00000000" w:rsidDel="00000000" w:rsidP="00000000" w:rsidRDefault="00000000" w:rsidRPr="00000000" w14:paraId="0000003F">
      <w:pPr>
        <w:rPr/>
      </w:pPr>
      <w:r w:rsidDel="00000000" w:rsidR="00000000" w:rsidRPr="00000000">
        <w:rPr>
          <w:sz w:val="26"/>
          <w:szCs w:val="26"/>
          <w:rtl w:val="0"/>
        </w:rPr>
        <w:t xml:space="preserve">SMA_n = (1/n) * Σ(Pi)</w:t>
      </w:r>
      <w:r w:rsidDel="00000000" w:rsidR="00000000" w:rsidRPr="00000000">
        <w:rPr>
          <w:rtl w:val="0"/>
        </w:rPr>
      </w:r>
    </w:p>
    <w:p w:rsidR="00000000" w:rsidDel="00000000" w:rsidP="00000000" w:rsidRDefault="00000000" w:rsidRPr="00000000" w14:paraId="00000040">
      <w:pPr>
        <w:spacing w:after="240" w:lineRule="auto"/>
        <w:rPr>
          <w:b w:val="1"/>
          <w:bCs w:val="1"/>
          <w:sz w:val="26"/>
          <w:szCs w:val="26"/>
        </w:rPr>
      </w:pPr>
      <w:r w:rsidDel="00000000" w:rsidR="00000000" w:rsidRPr="00000000">
        <w:rPr>
          <w:b w:val="1"/>
          <w:bCs w:val="1"/>
          <w:sz w:val="26"/>
          <w:szCs w:val="26"/>
          <w:rtl w:val="0"/>
        </w:rPr>
        <w:t xml:space="preserve">Relative Strength Index (RSI):</w:t>
      </w:r>
    </w:p>
    <w:p w:rsidR="00000000" w:rsidDel="00000000" w:rsidP="00000000" w:rsidRDefault="00000000" w:rsidRPr="00000000" w14:paraId="00000041">
      <w:pPr>
        <w:spacing w:after="240" w:lineRule="auto"/>
        <w:rPr>
          <w:sz w:val="26"/>
          <w:szCs w:val="26"/>
        </w:rPr>
      </w:pPr>
      <w:r w:rsidDel="00000000" w:rsidR="00000000" w:rsidRPr="00000000">
        <w:rPr>
          <w:sz w:val="26"/>
          <w:szCs w:val="26"/>
          <w:rtl w:val="0"/>
        </w:rPr>
        <w:t xml:space="preserve">A momentum oscillator measuring the speed and change of price movements on a 14-day rolling window to flag overbought or oversold conditions.</w:t>
      </w:r>
    </w:p>
    <w:p w:rsidR="00000000" w:rsidDel="00000000" w:rsidP="00000000" w:rsidRDefault="00000000" w:rsidRPr="00000000" w14:paraId="00000042">
      <w:pPr>
        <w:rPr/>
      </w:pPr>
      <w:r w:rsidDel="00000000" w:rsidR="00000000" w:rsidRPr="00000000">
        <w:rPr>
          <w:sz w:val="26"/>
          <w:szCs w:val="26"/>
          <w:rtl w:val="0"/>
        </w:rPr>
        <w:t xml:space="preserve">RSI = 100 - (100 / (1 + RS))</w:t>
      </w:r>
      <w:r w:rsidDel="00000000" w:rsidR="00000000" w:rsidRPr="00000000">
        <w:rPr>
          <w:rtl w:val="0"/>
        </w:rPr>
      </w:r>
    </w:p>
    <w:p w:rsidR="00000000" w:rsidDel="00000000" w:rsidP="00000000" w:rsidRDefault="00000000" w:rsidRPr="00000000" w14:paraId="00000043">
      <w:pPr>
        <w:spacing w:after="240" w:lineRule="auto"/>
        <w:rPr>
          <w:i w:val="1"/>
          <w:iCs w:val="1"/>
          <w:sz w:val="26"/>
          <w:szCs w:val="26"/>
        </w:rPr>
      </w:pPr>
      <w:r w:rsidDel="00000000" w:rsidR="00000000" w:rsidRPr="00000000">
        <w:rPr>
          <w:i w:val="1"/>
          <w:iCs w:val="1"/>
          <w:sz w:val="26"/>
          <w:szCs w:val="26"/>
          <w:rtl w:val="0"/>
        </w:rPr>
        <w:t xml:space="preserve">(Where RS is the average gain of up periods during the specified timeframe divided by the average loss of down periods).</w:t>
      </w:r>
    </w:p>
    <w:p w:rsidR="00000000" w:rsidDel="00000000" w:rsidP="00000000" w:rsidRDefault="00000000" w:rsidRPr="00000000" w14:paraId="00000044">
      <w:pPr>
        <w:spacing w:after="240" w:lineRule="auto"/>
        <w:rPr>
          <w:b w:val="1"/>
          <w:bCs w:val="1"/>
          <w:sz w:val="26"/>
          <w:szCs w:val="26"/>
        </w:rPr>
      </w:pPr>
      <w:r w:rsidDel="00000000" w:rsidR="00000000" w:rsidRPr="00000000">
        <w:rPr>
          <w:b w:val="1"/>
          <w:bCs w:val="1"/>
          <w:sz w:val="26"/>
          <w:szCs w:val="26"/>
          <w:rtl w:val="0"/>
        </w:rPr>
        <w:t xml:space="preserve">Bollinger Bands:</w:t>
      </w:r>
    </w:p>
    <w:p w:rsidR="00000000" w:rsidDel="00000000" w:rsidP="00000000" w:rsidRDefault="00000000" w:rsidRPr="00000000" w14:paraId="00000045">
      <w:pPr>
        <w:spacing w:after="240" w:lineRule="auto"/>
        <w:rPr>
          <w:sz w:val="26"/>
          <w:szCs w:val="26"/>
        </w:rPr>
      </w:pPr>
      <w:r w:rsidDel="00000000" w:rsidR="00000000" w:rsidRPr="00000000">
        <w:rPr>
          <w:sz w:val="26"/>
          <w:szCs w:val="26"/>
          <w:rtl w:val="0"/>
        </w:rPr>
        <w:t xml:space="preserve">A volatility indicator consisting of a middle band (20-day SMA) and an upper and lower band set at two standard deviations ($\sigma$) away, dynamically adjusting to market turbulence.</w:t>
      </w:r>
    </w:p>
    <w:p w:rsidR="00000000" w:rsidDel="00000000" w:rsidP="00000000" w:rsidRDefault="00000000" w:rsidRPr="00000000" w14:paraId="00000046">
      <w:pPr>
        <w:rPr/>
      </w:pPr>
      <w:r w:rsidDel="00000000" w:rsidR="00000000" w:rsidRPr="00000000">
        <w:rPr>
          <w:sz w:val="26"/>
          <w:szCs w:val="26"/>
          <w:rtl w:val="0"/>
        </w:rPr>
        <w:t xml:space="preserve">Upper Band = SMA_20 + (2 * σ)</w:t>
      </w:r>
      <w:r w:rsidDel="00000000" w:rsidR="00000000" w:rsidRPr="00000000">
        <w:rPr>
          <w:rtl w:val="0"/>
        </w:rPr>
      </w:r>
    </w:p>
    <w:p w:rsidR="00000000" w:rsidDel="00000000" w:rsidP="00000000" w:rsidRDefault="00000000" w:rsidRPr="00000000" w14:paraId="00000047">
      <w:pPr>
        <w:rPr/>
      </w:pPr>
      <w:r w:rsidDel="00000000" w:rsidR="00000000" w:rsidRPr="00000000">
        <w:rPr>
          <w:sz w:val="26"/>
          <w:szCs w:val="26"/>
          <w:rtl w:val="0"/>
        </w:rPr>
        <w:t xml:space="preserve">Lower Band = SMA_20 - (2 * σ)</w:t>
      </w:r>
      <w:r w:rsidDel="00000000" w:rsidR="00000000" w:rsidRPr="00000000">
        <w:rPr>
          <w:rtl w:val="0"/>
        </w:rPr>
      </w:r>
    </w:p>
    <w:p w:rsidR="00000000" w:rsidDel="00000000" w:rsidP="00000000" w:rsidRDefault="00000000" w:rsidRPr="00000000" w14:paraId="00000048">
      <w:pPr>
        <w:pStyle w:val="Heading3"/>
        <w:keepNext w:val="0"/>
        <w:keepLines w:val="0"/>
        <w:spacing w:before="0" w:lineRule="auto"/>
        <w:rPr>
          <w:b w:val="1"/>
          <w:bCs w:val="1"/>
          <w:color w:val="000000"/>
          <w:sz w:val="30"/>
          <w:szCs w:val="30"/>
        </w:rPr>
      </w:pPr>
      <w:bookmarkStart w:colFirst="0" w:colLast="0" w:name="_yhy2p86txot7" w:id="4"/>
      <w:bookmarkEnd w:id="4"/>
      <w:r w:rsidDel="00000000" w:rsidR="00000000" w:rsidRPr="00000000">
        <w:rPr>
          <w:b w:val="1"/>
          <w:bCs w:val="1"/>
          <w:color w:val="000000"/>
          <w:sz w:val="30"/>
          <w:szCs w:val="30"/>
          <w:rtl w:val="0"/>
        </w:rPr>
        <w:t xml:space="preserve">[PAGE 6: Section 5 - Mandatory Task A: Stock Predictor Engine]</w:t>
      </w:r>
    </w:p>
    <w:p w:rsidR="00000000" w:rsidDel="00000000" w:rsidP="00000000" w:rsidRDefault="00000000" w:rsidRPr="00000000" w14:paraId="00000049">
      <w:pPr>
        <w:spacing w:after="240" w:lineRule="auto"/>
        <w:rPr>
          <w:b w:val="1"/>
          <w:bCs w:val="1"/>
          <w:sz w:val="26"/>
          <w:szCs w:val="26"/>
        </w:rPr>
      </w:pPr>
      <w:r w:rsidDel="00000000" w:rsidR="00000000" w:rsidRPr="00000000">
        <w:rPr>
          <w:b w:val="1"/>
          <w:bCs w:val="1"/>
          <w:sz w:val="26"/>
          <w:szCs w:val="26"/>
          <w:rtl w:val="0"/>
        </w:rPr>
        <w:t xml:space="preserve">5.1. Algorithm Selection and Target Formulation</w:t>
      </w:r>
    </w:p>
    <w:p w:rsidR="00000000" w:rsidDel="00000000" w:rsidP="00000000" w:rsidRDefault="00000000" w:rsidRPr="00000000" w14:paraId="0000004A">
      <w:pPr>
        <w:spacing w:after="240" w:lineRule="auto"/>
        <w:rPr>
          <w:sz w:val="26"/>
          <w:szCs w:val="26"/>
        </w:rPr>
      </w:pPr>
      <w:r w:rsidDel="00000000" w:rsidR="00000000" w:rsidRPr="00000000">
        <w:rPr>
          <w:sz w:val="26"/>
          <w:szCs w:val="26"/>
          <w:rtl w:val="0"/>
        </w:rPr>
        <w:t xml:space="preserve">The objective is to forecast future stock behavior. Rather than predicting absolute continuous price values (a high-error regression task), the problem was reframed as a binary classification task: predicting the </w:t>
      </w:r>
      <w:r w:rsidDel="00000000" w:rsidR="00000000" w:rsidRPr="00000000">
        <w:rPr>
          <w:i w:val="1"/>
          <w:iCs w:val="1"/>
          <w:sz w:val="26"/>
          <w:szCs w:val="26"/>
          <w:rtl w:val="0"/>
        </w:rPr>
        <w:t xml:space="preserve">Directional Movement</w:t>
      </w:r>
      <w:r w:rsidDel="00000000" w:rsidR="00000000" w:rsidRPr="00000000">
        <w:rPr>
          <w:sz w:val="26"/>
          <w:szCs w:val="26"/>
          <w:rtl w:val="0"/>
        </w:rPr>
        <w:t xml:space="preserve">.</w:t>
      </w:r>
    </w:p>
    <w:p w:rsidR="00000000" w:rsidDel="00000000" w:rsidP="00000000" w:rsidRDefault="00000000" w:rsidRPr="00000000" w14:paraId="0000004B">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Target ($y$):</w:t>
      </w:r>
      <w:r w:rsidDel="00000000" w:rsidR="00000000" w:rsidRPr="00000000">
        <w:rPr>
          <w:sz w:val="26"/>
          <w:szCs w:val="26"/>
          <w:rtl w:val="0"/>
        </w:rPr>
        <w:t xml:space="preserve"> </w:t>
      </w:r>
      <w:r w:rsidDel="00000000" w:rsidR="00000000" w:rsidRPr="00000000">
        <w:rPr>
          <w:color w:val="188038"/>
          <w:sz w:val="26"/>
          <w:szCs w:val="26"/>
          <w:rtl w:val="0"/>
        </w:rPr>
        <w:t xml:space="preserve">1</w:t>
      </w:r>
      <w:r w:rsidDel="00000000" w:rsidR="00000000" w:rsidRPr="00000000">
        <w:rPr>
          <w:sz w:val="26"/>
          <w:szCs w:val="26"/>
          <w:rtl w:val="0"/>
        </w:rPr>
        <w:t xml:space="preserve"> if $Close_{t+1} &gt; Close_t$ (Upward movement), </w:t>
      </w:r>
      <w:r w:rsidDel="00000000" w:rsidR="00000000" w:rsidRPr="00000000">
        <w:rPr>
          <w:color w:val="188038"/>
          <w:sz w:val="26"/>
          <w:szCs w:val="26"/>
          <w:rtl w:val="0"/>
        </w:rPr>
        <w:t xml:space="preserve">0</w:t>
      </w:r>
      <w:r w:rsidDel="00000000" w:rsidR="00000000" w:rsidRPr="00000000">
        <w:rPr>
          <w:sz w:val="26"/>
          <w:szCs w:val="26"/>
          <w:rtl w:val="0"/>
        </w:rPr>
        <w:t xml:space="preserve"> otherwise.</w:t>
      </w:r>
    </w:p>
    <w:p w:rsidR="00000000" w:rsidDel="00000000" w:rsidP="00000000" w:rsidRDefault="00000000" w:rsidRPr="00000000" w14:paraId="0000004C">
      <w:pPr>
        <w:numPr>
          <w:ilvl w:val="0"/>
          <w:numId w:val="2"/>
        </w:numPr>
        <w:spacing w:after="240" w:lineRule="auto"/>
        <w:ind w:left="720" w:hanging="360"/>
        <w:rPr>
          <w:sz w:val="26"/>
          <w:szCs w:val="26"/>
        </w:rPr>
      </w:pPr>
      <w:r w:rsidDel="00000000" w:rsidR="00000000" w:rsidRPr="00000000">
        <w:rPr>
          <w:b w:val="1"/>
          <w:bCs w:val="1"/>
          <w:sz w:val="26"/>
          <w:szCs w:val="26"/>
          <w:rtl w:val="0"/>
        </w:rPr>
        <w:t xml:space="preserve">Feature Space ($X$):</w:t>
      </w:r>
      <w:r w:rsidDel="00000000" w:rsidR="00000000" w:rsidRPr="00000000">
        <w:rPr>
          <w:sz w:val="26"/>
          <w:szCs w:val="26"/>
          <w:rtl w:val="0"/>
        </w:rPr>
        <w:t xml:space="preserve"> Open, High, Low, Close, Volume, SMA_50, SMA_200, RSI_14.</w:t>
      </w:r>
    </w:p>
    <w:p w:rsidR="00000000" w:rsidDel="00000000" w:rsidP="00000000" w:rsidRDefault="00000000" w:rsidRPr="00000000" w14:paraId="0000004D">
      <w:pPr>
        <w:spacing w:after="240" w:lineRule="auto"/>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Random Forest Classifier</w:t>
      </w:r>
      <w:r w:rsidDel="00000000" w:rsidR="00000000" w:rsidRPr="00000000">
        <w:rPr>
          <w:sz w:val="26"/>
          <w:szCs w:val="26"/>
          <w:rtl w:val="0"/>
        </w:rPr>
        <w:t xml:space="preserve"> was selected. Decision tree ensembles are highly robust against the non-linearities and multicollinearity inherent in overlapping financial indicators (e.g., SMA and Close price are highly correlated, which would destabilize a logistic regression, but is easily handled by Random Forest entropy splits).</w:t>
      </w:r>
    </w:p>
    <w:p w:rsidR="00000000" w:rsidDel="00000000" w:rsidP="00000000" w:rsidRDefault="00000000" w:rsidRPr="00000000" w14:paraId="0000004E">
      <w:pPr>
        <w:spacing w:after="240" w:lineRule="auto"/>
        <w:rPr>
          <w:b w:val="1"/>
          <w:bCs w:val="1"/>
          <w:sz w:val="26"/>
          <w:szCs w:val="26"/>
        </w:rPr>
      </w:pPr>
      <w:r w:rsidDel="00000000" w:rsidR="00000000" w:rsidRPr="00000000">
        <w:rPr>
          <w:b w:val="1"/>
          <w:bCs w:val="1"/>
          <w:sz w:val="26"/>
          <w:szCs w:val="26"/>
          <w:rtl w:val="0"/>
        </w:rPr>
        <w:t xml:space="preserve">5.2. Chronological Validation</w:t>
      </w:r>
    </w:p>
    <w:p w:rsidR="00000000" w:rsidDel="00000000" w:rsidP="00000000" w:rsidRDefault="00000000" w:rsidRPr="00000000" w14:paraId="0000004F">
      <w:pPr>
        <w:spacing w:after="240" w:lineRule="auto"/>
        <w:rPr>
          <w:sz w:val="26"/>
          <w:szCs w:val="26"/>
        </w:rPr>
      </w:pPr>
      <w:r w:rsidDel="00000000" w:rsidR="00000000" w:rsidRPr="00000000">
        <w:rPr>
          <w:sz w:val="26"/>
          <w:szCs w:val="26"/>
          <w:rtl w:val="0"/>
        </w:rPr>
        <w:t xml:space="preserve">Traditional K-Fold cross-validation is invalid for time-series data. A strict chronological train-test split was implemented. The first 80% of historical data was used to train the model, and the final 20% (representing the most recent market years) was withheld for blind testing.</w:t>
      </w:r>
    </w:p>
    <w:p w:rsidR="00000000" w:rsidDel="00000000" w:rsidP="00000000" w:rsidRDefault="00000000" w:rsidRPr="00000000" w14:paraId="00000050">
      <w:pPr>
        <w:pStyle w:val="Heading3"/>
        <w:keepNext w:val="0"/>
        <w:keepLines w:val="0"/>
        <w:spacing w:before="0" w:lineRule="auto"/>
        <w:rPr>
          <w:b w:val="1"/>
          <w:bCs w:val="1"/>
          <w:color w:val="000000"/>
          <w:sz w:val="30"/>
          <w:szCs w:val="30"/>
        </w:rPr>
      </w:pPr>
      <w:bookmarkStart w:colFirst="0" w:colLast="0" w:name="_eayg5e4fbstc" w:id="5"/>
      <w:bookmarkEnd w:id="5"/>
      <w:r w:rsidDel="00000000" w:rsidR="00000000" w:rsidRPr="00000000">
        <w:rPr>
          <w:b w:val="1"/>
          <w:bCs w:val="1"/>
          <w:color w:val="000000"/>
          <w:sz w:val="30"/>
          <w:szCs w:val="30"/>
          <w:rtl w:val="0"/>
        </w:rPr>
        <w:t xml:space="preserve">Predictor Engine Evaluation</w:t>
      </w:r>
    </w:p>
    <w:p w:rsidR="00000000" w:rsidDel="00000000" w:rsidP="00000000" w:rsidRDefault="00000000" w:rsidRPr="00000000" w14:paraId="00000051">
      <w:pPr>
        <w:spacing w:after="240" w:lineRule="auto"/>
        <w:rPr>
          <w:b w:val="1"/>
          <w:bCs w:val="1"/>
          <w:sz w:val="26"/>
          <w:szCs w:val="26"/>
        </w:rPr>
      </w:pPr>
      <w:r w:rsidDel="00000000" w:rsidR="00000000" w:rsidRPr="00000000">
        <w:rPr>
          <w:b w:val="1"/>
          <w:bCs w:val="1"/>
          <w:sz w:val="26"/>
          <w:szCs w:val="26"/>
          <w:rtl w:val="0"/>
        </w:rPr>
        <w:t xml:space="preserve">5.3. Baseline Model Performance (Infosys - INFY)</w:t>
      </w:r>
    </w:p>
    <w:p w:rsidR="00000000" w:rsidDel="00000000" w:rsidP="00000000" w:rsidRDefault="00000000" w:rsidRPr="00000000" w14:paraId="00000052">
      <w:pPr>
        <w:spacing w:after="240" w:lineRule="auto"/>
        <w:rPr>
          <w:sz w:val="26"/>
          <w:szCs w:val="26"/>
        </w:rPr>
      </w:pPr>
      <w:r w:rsidDel="00000000" w:rsidR="00000000" w:rsidRPr="00000000">
        <w:rPr>
          <w:sz w:val="26"/>
          <w:szCs w:val="26"/>
          <w:rtl w:val="0"/>
        </w:rPr>
        <w:t xml:space="preserve">The Random Forest model (</w:t>
      </w:r>
      <w:r w:rsidDel="00000000" w:rsidR="00000000" w:rsidRPr="00000000">
        <w:rPr>
          <w:color w:val="188038"/>
          <w:sz w:val="26"/>
          <w:szCs w:val="26"/>
          <w:rtl w:val="0"/>
        </w:rPr>
        <w:t xml:space="preserve">n_estimators=100</w:t>
      </w:r>
      <w:r w:rsidDel="00000000" w:rsidR="00000000" w:rsidRPr="00000000">
        <w:rPr>
          <w:sz w:val="26"/>
          <w:szCs w:val="26"/>
          <w:rtl w:val="0"/>
        </w:rPr>
        <w:t xml:space="preserve">, </w:t>
      </w:r>
      <w:r w:rsidDel="00000000" w:rsidR="00000000" w:rsidRPr="00000000">
        <w:rPr>
          <w:color w:val="188038"/>
          <w:sz w:val="26"/>
          <w:szCs w:val="26"/>
          <w:rtl w:val="0"/>
        </w:rPr>
        <w:t xml:space="preserve">max_depth=5</w:t>
      </w:r>
      <w:r w:rsidDel="00000000" w:rsidR="00000000" w:rsidRPr="00000000">
        <w:rPr>
          <w:sz w:val="26"/>
          <w:szCs w:val="26"/>
          <w:rtl w:val="0"/>
        </w:rPr>
        <w:t xml:space="preserve"> to prevent overfitting) was evaluated on the INFY historical subset.</w:t>
      </w:r>
    </w:p>
    <w:p w:rsidR="00000000" w:rsidDel="00000000" w:rsidP="00000000" w:rsidRDefault="00000000" w:rsidRPr="00000000" w14:paraId="00000053">
      <w:pPr>
        <w:spacing w:after="240" w:lineRule="auto"/>
        <w:rPr>
          <w:b w:val="1"/>
          <w:bCs w:val="1"/>
          <w:sz w:val="26"/>
          <w:szCs w:val="26"/>
        </w:rPr>
      </w:pPr>
      <w:r w:rsidDel="00000000" w:rsidR="00000000" w:rsidRPr="00000000">
        <w:rPr>
          <w:b w:val="1"/>
          <w:bCs w:val="1"/>
          <w:sz w:val="26"/>
          <w:szCs w:val="26"/>
          <w:rtl w:val="0"/>
        </w:rPr>
        <w:t xml:space="preserve">Classification Report:</w:t>
      </w:r>
    </w:p>
    <w:p w:rsidR="00000000" w:rsidDel="00000000" w:rsidP="00000000" w:rsidRDefault="00000000" w:rsidRPr="00000000" w14:paraId="00000054">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Directional Accuracy:</w:t>
      </w:r>
      <w:r w:rsidDel="00000000" w:rsidR="00000000" w:rsidRPr="00000000">
        <w:rPr>
          <w:sz w:val="26"/>
          <w:szCs w:val="26"/>
          <w:rtl w:val="0"/>
        </w:rPr>
        <w:t xml:space="preserve"> 50.61%</w:t>
      </w:r>
    </w:p>
    <w:p w:rsidR="00000000" w:rsidDel="00000000" w:rsidP="00000000" w:rsidRDefault="00000000" w:rsidRPr="00000000" w14:paraId="00000055">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Precision (Upward):</w:t>
      </w:r>
      <w:r w:rsidDel="00000000" w:rsidR="00000000" w:rsidRPr="00000000">
        <w:rPr>
          <w:sz w:val="26"/>
          <w:szCs w:val="26"/>
          <w:rtl w:val="0"/>
        </w:rPr>
        <w:t xml:space="preserve"> 0.58</w:t>
      </w:r>
    </w:p>
    <w:p w:rsidR="00000000" w:rsidDel="00000000" w:rsidP="00000000" w:rsidRDefault="00000000" w:rsidRPr="00000000" w14:paraId="00000056">
      <w:pPr>
        <w:numPr>
          <w:ilvl w:val="0"/>
          <w:numId w:val="5"/>
        </w:numPr>
        <w:spacing w:after="240" w:lineRule="auto"/>
        <w:ind w:left="720" w:hanging="360"/>
        <w:rPr>
          <w:sz w:val="26"/>
          <w:szCs w:val="26"/>
        </w:rPr>
      </w:pPr>
      <w:r w:rsidDel="00000000" w:rsidR="00000000" w:rsidRPr="00000000">
        <w:rPr>
          <w:b w:val="1"/>
          <w:bCs w:val="1"/>
          <w:sz w:val="26"/>
          <w:szCs w:val="26"/>
          <w:rtl w:val="0"/>
        </w:rPr>
        <w:t xml:space="preserve">Recall (Downward):</w:t>
      </w:r>
      <w:r w:rsidDel="00000000" w:rsidR="00000000" w:rsidRPr="00000000">
        <w:rPr>
          <w:sz w:val="26"/>
          <w:szCs w:val="26"/>
          <w:rtl w:val="0"/>
        </w:rPr>
        <w:t xml:space="preserve"> 0.70</w:t>
      </w:r>
    </w:p>
    <w:p w:rsidR="00000000" w:rsidDel="00000000" w:rsidP="00000000" w:rsidRDefault="00000000" w:rsidRPr="00000000" w14:paraId="00000057">
      <w:pPr>
        <w:spacing w:after="240" w:lineRule="auto"/>
        <w:rPr>
          <w:b w:val="1"/>
          <w:bCs w:val="1"/>
          <w:sz w:val="26"/>
          <w:szCs w:val="26"/>
        </w:rPr>
      </w:pPr>
      <w:r w:rsidDel="00000000" w:rsidR="00000000" w:rsidRPr="00000000">
        <w:rPr>
          <w:b w:val="1"/>
          <w:bCs w:val="1"/>
          <w:sz w:val="26"/>
          <w:szCs w:val="26"/>
          <w:rtl w:val="0"/>
        </w:rPr>
        <w:t xml:space="preserve">5.4. Interpretation of Results</w:t>
      </w:r>
    </w:p>
    <w:p w:rsidR="00000000" w:rsidDel="00000000" w:rsidP="00000000" w:rsidRDefault="00000000" w:rsidRPr="00000000" w14:paraId="00000058">
      <w:pPr>
        <w:spacing w:after="240" w:lineRule="auto"/>
        <w:rPr>
          <w:sz w:val="26"/>
          <w:szCs w:val="26"/>
        </w:rPr>
      </w:pPr>
      <w:r w:rsidDel="00000000" w:rsidR="00000000" w:rsidRPr="00000000">
        <w:rPr>
          <w:sz w:val="26"/>
          <w:szCs w:val="26"/>
          <w:rtl w:val="0"/>
        </w:rPr>
        <w:t xml:space="preserve">While a 50.6% absolute accuracy appears marginal in traditional machine learning contexts, in the domain of quantitative finance, an edge above 50% on raw directional movement using solely historical technicals is significant.</w:t>
      </w:r>
    </w:p>
    <w:p w:rsidR="00000000" w:rsidDel="00000000" w:rsidP="00000000" w:rsidRDefault="00000000" w:rsidRPr="00000000" w14:paraId="00000059">
      <w:pPr>
        <w:spacing w:after="240" w:lineRule="auto"/>
        <w:rPr>
          <w:sz w:val="26"/>
          <w:szCs w:val="26"/>
        </w:rPr>
      </w:pPr>
      <w:r w:rsidDel="00000000" w:rsidR="00000000" w:rsidRPr="00000000">
        <w:rPr>
          <w:sz w:val="26"/>
          <w:szCs w:val="26"/>
          <w:rtl w:val="0"/>
        </w:rPr>
        <w:t xml:space="preserve">More importantly, the model demonstrated a high recall (0.70) for </w:t>
      </w:r>
      <w:r w:rsidDel="00000000" w:rsidR="00000000" w:rsidRPr="00000000">
        <w:rPr>
          <w:color w:val="188038"/>
          <w:sz w:val="26"/>
          <w:szCs w:val="26"/>
          <w:rtl w:val="0"/>
        </w:rPr>
        <w:t xml:space="preserve">Class 0</w:t>
      </w:r>
      <w:r w:rsidDel="00000000" w:rsidR="00000000" w:rsidRPr="00000000">
        <w:rPr>
          <w:sz w:val="26"/>
          <w:szCs w:val="26"/>
          <w:rtl w:val="0"/>
        </w:rPr>
        <w:t xml:space="preserve"> (Downward movement). This means the engine is highly sensitive to identifying price drops before they occur. In a decision-support context, this serves as an excellent defensive signaling mechanism, warning investors of impending momentum breakdowns even if it occasionally sacrifices upside capture.</w:t>
      </w:r>
    </w:p>
    <w:p w:rsidR="00000000" w:rsidDel="00000000" w:rsidP="00000000" w:rsidRDefault="00000000" w:rsidRPr="00000000" w14:paraId="0000005A">
      <w:pPr>
        <w:pStyle w:val="Heading3"/>
        <w:keepNext w:val="0"/>
        <w:keepLines w:val="0"/>
        <w:spacing w:before="0" w:lineRule="auto"/>
        <w:rPr>
          <w:b w:val="1"/>
          <w:bCs w:val="1"/>
          <w:color w:val="000000"/>
          <w:sz w:val="30"/>
          <w:szCs w:val="30"/>
        </w:rPr>
      </w:pPr>
      <w:bookmarkStart w:colFirst="0" w:colLast="0" w:name="_oixnewesdckz" w:id="6"/>
      <w:bookmarkEnd w:id="6"/>
      <w:r w:rsidDel="00000000" w:rsidR="00000000" w:rsidRPr="00000000">
        <w:rPr>
          <w:b w:val="1"/>
          <w:bCs w:val="1"/>
          <w:color w:val="000000"/>
          <w:sz w:val="30"/>
          <w:szCs w:val="30"/>
          <w:rtl w:val="0"/>
        </w:rPr>
        <w:t xml:space="preserve">Mandatory Task B: Portfolio Construction Module</w:t>
      </w:r>
    </w:p>
    <w:p w:rsidR="00000000" w:rsidDel="00000000" w:rsidP="00000000" w:rsidRDefault="00000000" w:rsidRPr="00000000" w14:paraId="0000005B">
      <w:pPr>
        <w:spacing w:after="240" w:lineRule="auto"/>
        <w:rPr>
          <w:b w:val="1"/>
          <w:bCs w:val="1"/>
          <w:sz w:val="26"/>
          <w:szCs w:val="26"/>
        </w:rPr>
      </w:pPr>
      <w:r w:rsidDel="00000000" w:rsidR="00000000" w:rsidRPr="00000000">
        <w:rPr>
          <w:b w:val="1"/>
          <w:bCs w:val="1"/>
          <w:sz w:val="26"/>
          <w:szCs w:val="26"/>
          <w:rtl w:val="0"/>
        </w:rPr>
        <w:t xml:space="preserve">6.1. Modern Portfolio Theory (MPT) Implementation</w:t>
      </w:r>
    </w:p>
    <w:p w:rsidR="00000000" w:rsidDel="00000000" w:rsidP="00000000" w:rsidRDefault="00000000" w:rsidRPr="00000000" w14:paraId="0000005C">
      <w:pPr>
        <w:spacing w:after="240" w:lineRule="auto"/>
        <w:rPr>
          <w:sz w:val="26"/>
          <w:szCs w:val="26"/>
        </w:rPr>
      </w:pPr>
      <w:r w:rsidDel="00000000" w:rsidR="00000000" w:rsidRPr="00000000">
        <w:rPr>
          <w:sz w:val="26"/>
          <w:szCs w:val="26"/>
          <w:rtl w:val="0"/>
        </w:rPr>
        <w:t xml:space="preserve">Predicting a single stock's movement is insufficient for wealth generation. The platform must combine assets to minimize specific (idiosyncratic) risk. The portfolio module evaluates a covariance matrix ($\Sigma$) and expected return vector ($\mu$) to construct portfolios.</w:t>
      </w:r>
    </w:p>
    <w:p w:rsidR="00000000" w:rsidDel="00000000" w:rsidP="00000000" w:rsidRDefault="00000000" w:rsidRPr="00000000" w14:paraId="0000005D">
      <w:pPr>
        <w:spacing w:after="240" w:lineRule="auto"/>
        <w:rPr>
          <w:sz w:val="26"/>
          <w:szCs w:val="26"/>
        </w:rPr>
      </w:pPr>
      <w:r w:rsidDel="00000000" w:rsidR="00000000" w:rsidRPr="00000000">
        <w:rPr>
          <w:sz w:val="26"/>
          <w:szCs w:val="26"/>
          <w:rtl w:val="0"/>
        </w:rPr>
        <w:t xml:space="preserve">The expected return of a portfolio $E(R_p)$ is the proportion-weighted combination of the individual assets:</w:t>
      </w:r>
    </w:p>
    <w:p w:rsidR="00000000" w:rsidDel="00000000" w:rsidP="00000000" w:rsidRDefault="00000000" w:rsidRPr="00000000" w14:paraId="0000005E">
      <w:pPr>
        <w:rPr/>
      </w:pPr>
      <w:r w:rsidDel="00000000" w:rsidR="00000000" w:rsidRPr="00000000">
        <w:rPr>
          <w:sz w:val="26"/>
          <w:szCs w:val="26"/>
          <w:rtl w:val="0"/>
        </w:rPr>
        <w:t xml:space="preserve">E(Rp) = Σ(wi * E(Ri))</w:t>
      </w:r>
      <w:r w:rsidDel="00000000" w:rsidR="00000000" w:rsidRPr="00000000">
        <w:rPr>
          <w:rtl w:val="0"/>
        </w:rPr>
      </w:r>
    </w:p>
    <w:p w:rsidR="00000000" w:rsidDel="00000000" w:rsidP="00000000" w:rsidRDefault="00000000" w:rsidRPr="00000000" w14:paraId="0000005F">
      <w:pPr>
        <w:spacing w:after="240" w:lineRule="auto"/>
        <w:rPr>
          <w:sz w:val="26"/>
          <w:szCs w:val="26"/>
        </w:rPr>
      </w:pPr>
      <w:r w:rsidDel="00000000" w:rsidR="00000000" w:rsidRPr="00000000">
        <w:rPr>
          <w:sz w:val="26"/>
          <w:szCs w:val="26"/>
          <w:rtl w:val="0"/>
        </w:rPr>
        <w:t xml:space="preserve">The portfolio variance ($\sigma_p^2$), which represents risk, accounts for asset correlation:</w:t>
      </w:r>
    </w:p>
    <w:p w:rsidR="00000000" w:rsidDel="00000000" w:rsidP="00000000" w:rsidRDefault="00000000" w:rsidRPr="00000000" w14:paraId="00000060">
      <w:pPr>
        <w:rPr/>
      </w:pPr>
      <w:r w:rsidDel="00000000" w:rsidR="00000000" w:rsidRPr="00000000">
        <w:rPr>
          <w:sz w:val="26"/>
          <w:szCs w:val="26"/>
          <w:rtl w:val="0"/>
        </w:rPr>
        <w:t xml:space="preserve">σp^2 = w^T * Σ * w</w:t>
      </w:r>
      <w:r w:rsidDel="00000000" w:rsidR="00000000" w:rsidRPr="00000000">
        <w:rPr>
          <w:rtl w:val="0"/>
        </w:rPr>
      </w:r>
    </w:p>
    <w:p w:rsidR="00000000" w:rsidDel="00000000" w:rsidP="00000000" w:rsidRDefault="00000000" w:rsidRPr="00000000" w14:paraId="00000061">
      <w:pPr>
        <w:spacing w:after="240" w:lineRule="auto"/>
        <w:rPr>
          <w:b w:val="1"/>
          <w:bCs w:val="1"/>
          <w:sz w:val="26"/>
          <w:szCs w:val="26"/>
        </w:rPr>
      </w:pPr>
      <w:r w:rsidDel="00000000" w:rsidR="00000000" w:rsidRPr="00000000">
        <w:rPr>
          <w:b w:val="1"/>
          <w:bCs w:val="1"/>
          <w:sz w:val="26"/>
          <w:szCs w:val="26"/>
          <w:rtl w:val="0"/>
        </w:rPr>
        <w:t xml:space="preserve">6.2. Sample Universe Execution</w:t>
      </w:r>
    </w:p>
    <w:p w:rsidR="00000000" w:rsidDel="00000000" w:rsidP="00000000" w:rsidRDefault="00000000" w:rsidRPr="00000000" w14:paraId="00000062">
      <w:pPr>
        <w:spacing w:after="240" w:lineRule="auto"/>
        <w:rPr>
          <w:sz w:val="26"/>
          <w:szCs w:val="26"/>
        </w:rPr>
      </w:pPr>
      <w:r w:rsidDel="00000000" w:rsidR="00000000" w:rsidRPr="00000000">
        <w:rPr>
          <w:sz w:val="26"/>
          <w:szCs w:val="26"/>
          <w:rtl w:val="0"/>
        </w:rPr>
        <w:t xml:space="preserve">The module was tested on a highly diversified subset of major Indian equities: NTPC (Energy), MARUTI (Auto), RELIANCE (Energy/Retail), ONGC (Energy), and SBIN (Finance).</w:t>
      </w:r>
    </w:p>
    <w:p w:rsidR="00000000" w:rsidDel="00000000" w:rsidP="00000000" w:rsidRDefault="00000000" w:rsidRPr="00000000" w14:paraId="00000063">
      <w:pPr>
        <w:spacing w:after="240" w:lineRule="auto"/>
        <w:rPr>
          <w:sz w:val="26"/>
          <w:szCs w:val="26"/>
        </w:rPr>
      </w:pPr>
      <w:r w:rsidDel="00000000" w:rsidR="00000000" w:rsidRPr="00000000">
        <w:rPr>
          <w:sz w:val="26"/>
          <w:szCs w:val="26"/>
          <w:rtl w:val="0"/>
        </w:rPr>
        <w:t xml:space="preserve">Based on annualized mean returns and daily covariance derived from the 21-year dataset, the system generated three distinct portfolios.</w:t>
      </w:r>
    </w:p>
    <w:p w:rsidR="00000000" w:rsidDel="00000000" w:rsidP="00000000" w:rsidRDefault="00000000" w:rsidRPr="00000000" w14:paraId="00000064">
      <w:pPr>
        <w:pStyle w:val="Heading3"/>
        <w:keepNext w:val="0"/>
        <w:keepLines w:val="0"/>
        <w:spacing w:before="0" w:lineRule="auto"/>
        <w:rPr>
          <w:b w:val="1"/>
          <w:bCs w:val="1"/>
          <w:color w:val="000000"/>
          <w:sz w:val="30"/>
          <w:szCs w:val="30"/>
        </w:rPr>
      </w:pPr>
      <w:bookmarkStart w:colFirst="0" w:colLast="0" w:name="_xxnrd5y5cfno" w:id="7"/>
      <w:bookmarkEnd w:id="7"/>
      <w:r w:rsidDel="00000000" w:rsidR="00000000" w:rsidRPr="00000000">
        <w:rPr>
          <w:b w:val="1"/>
          <w:bCs w:val="1"/>
          <w:color w:val="000000"/>
          <w:sz w:val="30"/>
          <w:szCs w:val="30"/>
          <w:rtl w:val="0"/>
        </w:rPr>
        <w:t xml:space="preserve">Dynamic Asset Allocation</w:t>
      </w:r>
    </w:p>
    <w:p w:rsidR="00000000" w:rsidDel="00000000" w:rsidP="00000000" w:rsidRDefault="00000000" w:rsidRPr="00000000" w14:paraId="00000065">
      <w:pPr>
        <w:spacing w:after="240" w:lineRule="auto"/>
        <w:rPr>
          <w:b w:val="1"/>
          <w:bCs w:val="1"/>
          <w:sz w:val="26"/>
          <w:szCs w:val="26"/>
        </w:rPr>
      </w:pPr>
      <w:r w:rsidDel="00000000" w:rsidR="00000000" w:rsidRPr="00000000">
        <w:rPr>
          <w:b w:val="1"/>
          <w:bCs w:val="1"/>
          <w:sz w:val="26"/>
          <w:szCs w:val="26"/>
          <w:rtl w:val="0"/>
        </w:rPr>
        <w:t xml:space="preserve">6.3. The Three Investor Profiles</w:t>
      </w:r>
    </w:p>
    <w:p w:rsidR="00000000" w:rsidDel="00000000" w:rsidP="00000000" w:rsidRDefault="00000000" w:rsidRPr="00000000" w14:paraId="00000066">
      <w:pPr>
        <w:spacing w:after="240" w:lineRule="auto"/>
        <w:rPr>
          <w:b w:val="1"/>
          <w:bCs w:val="1"/>
          <w:sz w:val="26"/>
          <w:szCs w:val="26"/>
        </w:rPr>
      </w:pPr>
      <w:r w:rsidDel="00000000" w:rsidR="00000000" w:rsidRPr="00000000">
        <w:rPr>
          <w:b w:val="1"/>
          <w:bCs w:val="1"/>
          <w:sz w:val="26"/>
          <w:szCs w:val="26"/>
          <w:rtl w:val="0"/>
        </w:rPr>
        <w:t xml:space="preserve">1. Conservative Portfolio (Targeting Capital Preservation)</w:t>
      </w:r>
    </w:p>
    <w:p w:rsidR="00000000" w:rsidDel="00000000" w:rsidP="00000000" w:rsidRDefault="00000000" w:rsidRPr="00000000" w14:paraId="00000067">
      <w:pPr>
        <w:numPr>
          <w:ilvl w:val="0"/>
          <w:numId w:val="6"/>
        </w:numPr>
        <w:spacing w:after="0" w:afterAutospacing="0" w:lineRule="auto"/>
        <w:ind w:left="720" w:hanging="360"/>
        <w:rPr>
          <w:sz w:val="26"/>
          <w:szCs w:val="26"/>
        </w:rPr>
      </w:pPr>
      <w:r w:rsidDel="00000000" w:rsidR="00000000" w:rsidRPr="00000000">
        <w:rPr>
          <w:b w:val="1"/>
          <w:bCs w:val="1"/>
          <w:sz w:val="26"/>
          <w:szCs w:val="26"/>
          <w:rtl w:val="0"/>
        </w:rPr>
        <w:t xml:space="preserve">Strategy:</w:t>
      </w:r>
      <w:r w:rsidDel="00000000" w:rsidR="00000000" w:rsidRPr="00000000">
        <w:rPr>
          <w:sz w:val="26"/>
          <w:szCs w:val="26"/>
          <w:rtl w:val="0"/>
        </w:rPr>
        <w:t xml:space="preserve"> Inverse Volatility Weighting. Capital is proportionally allocated to the assets with the lowest historical standard deviations.</w:t>
      </w:r>
    </w:p>
    <w:p w:rsidR="00000000" w:rsidDel="00000000" w:rsidP="00000000" w:rsidRDefault="00000000" w:rsidRPr="00000000" w14:paraId="00000068">
      <w:pPr>
        <w:numPr>
          <w:ilvl w:val="0"/>
          <w:numId w:val="6"/>
        </w:numPr>
        <w:spacing w:after="0" w:afterAutospacing="0" w:lineRule="auto"/>
        <w:ind w:left="720" w:hanging="360"/>
        <w:rPr>
          <w:sz w:val="26"/>
          <w:szCs w:val="26"/>
        </w:rPr>
      </w:pPr>
      <w:r w:rsidDel="00000000" w:rsidR="00000000" w:rsidRPr="00000000">
        <w:rPr>
          <w:b w:val="1"/>
          <w:bCs w:val="1"/>
          <w:sz w:val="26"/>
          <w:szCs w:val="26"/>
          <w:rtl w:val="0"/>
        </w:rPr>
        <w:t xml:space="preserve">Expected Return:</w:t>
      </w:r>
      <w:r w:rsidDel="00000000" w:rsidR="00000000" w:rsidRPr="00000000">
        <w:rPr>
          <w:sz w:val="26"/>
          <w:szCs w:val="26"/>
          <w:rtl w:val="0"/>
        </w:rPr>
        <w:t xml:space="preserve"> 11.76% | </w:t>
      </w:r>
      <w:r w:rsidDel="00000000" w:rsidR="00000000" w:rsidRPr="00000000">
        <w:rPr>
          <w:b w:val="1"/>
          <w:bCs w:val="1"/>
          <w:sz w:val="26"/>
          <w:szCs w:val="26"/>
          <w:rtl w:val="0"/>
        </w:rPr>
        <w:t xml:space="preserve">Portfolio Risk:</w:t>
      </w:r>
      <w:r w:rsidDel="00000000" w:rsidR="00000000" w:rsidRPr="00000000">
        <w:rPr>
          <w:sz w:val="26"/>
          <w:szCs w:val="26"/>
          <w:rtl w:val="0"/>
        </w:rPr>
        <w:t xml:space="preserve"> 25.32%</w:t>
      </w:r>
    </w:p>
    <w:p w:rsidR="00000000" w:rsidDel="00000000" w:rsidP="00000000" w:rsidRDefault="00000000" w:rsidRPr="00000000" w14:paraId="00000069">
      <w:pPr>
        <w:numPr>
          <w:ilvl w:val="0"/>
          <w:numId w:val="6"/>
        </w:numPr>
        <w:spacing w:after="240" w:lineRule="auto"/>
        <w:ind w:left="720" w:hanging="360"/>
        <w:rPr>
          <w:sz w:val="26"/>
          <w:szCs w:val="26"/>
        </w:rPr>
      </w:pPr>
      <w:r w:rsidDel="00000000" w:rsidR="00000000" w:rsidRPr="00000000">
        <w:rPr>
          <w:b w:val="1"/>
          <w:bCs w:val="1"/>
          <w:sz w:val="26"/>
          <w:szCs w:val="26"/>
          <w:rtl w:val="0"/>
        </w:rPr>
        <w:t xml:space="preserve">Allocation:</w:t>
      </w:r>
      <w:r w:rsidDel="00000000" w:rsidR="00000000" w:rsidRPr="00000000">
        <w:rPr>
          <w:sz w:val="26"/>
          <w:szCs w:val="26"/>
          <w:rtl w:val="0"/>
        </w:rPr>
        <w:t xml:space="preserve"> NTPC (24.25%), MARUTI (22.06%), RELIANCE (19.12%), ONGC (17.82%), SBIN (16.72%).</w:t>
      </w:r>
    </w:p>
    <w:p w:rsidR="00000000" w:rsidDel="00000000" w:rsidP="00000000" w:rsidRDefault="00000000" w:rsidRPr="00000000" w14:paraId="0000006A">
      <w:pPr>
        <w:spacing w:after="240" w:lineRule="auto"/>
        <w:rPr>
          <w:b w:val="1"/>
          <w:bCs w:val="1"/>
          <w:sz w:val="26"/>
          <w:szCs w:val="26"/>
        </w:rPr>
      </w:pPr>
      <w:r w:rsidDel="00000000" w:rsidR="00000000" w:rsidRPr="00000000">
        <w:rPr>
          <w:b w:val="1"/>
          <w:bCs w:val="1"/>
          <w:sz w:val="26"/>
          <w:szCs w:val="26"/>
          <w:rtl w:val="0"/>
        </w:rPr>
        <w:t xml:space="preserve">2. Balanced Portfolio (Targeting Neutrality)</w:t>
      </w:r>
    </w:p>
    <w:p w:rsidR="00000000" w:rsidDel="00000000" w:rsidP="00000000" w:rsidRDefault="00000000" w:rsidRPr="00000000" w14:paraId="0000006B">
      <w:pPr>
        <w:numPr>
          <w:ilvl w:val="0"/>
          <w:numId w:val="9"/>
        </w:numPr>
        <w:spacing w:after="0" w:afterAutospacing="0" w:lineRule="auto"/>
        <w:ind w:left="720" w:hanging="360"/>
        <w:rPr>
          <w:sz w:val="26"/>
          <w:szCs w:val="26"/>
        </w:rPr>
      </w:pPr>
      <w:r w:rsidDel="00000000" w:rsidR="00000000" w:rsidRPr="00000000">
        <w:rPr>
          <w:b w:val="1"/>
          <w:bCs w:val="1"/>
          <w:sz w:val="26"/>
          <w:szCs w:val="26"/>
          <w:rtl w:val="0"/>
        </w:rPr>
        <w:t xml:space="preserve">Strategy:</w:t>
      </w:r>
      <w:r w:rsidDel="00000000" w:rsidR="00000000" w:rsidRPr="00000000">
        <w:rPr>
          <w:sz w:val="26"/>
          <w:szCs w:val="26"/>
          <w:rtl w:val="0"/>
        </w:rPr>
        <w:t xml:space="preserve"> Equal-Weight Distribution. Neutralizes specific asset bias, relying on the broader economic drift of the NIFTY index.</w:t>
      </w:r>
    </w:p>
    <w:p w:rsidR="00000000" w:rsidDel="00000000" w:rsidP="00000000" w:rsidRDefault="00000000" w:rsidRPr="00000000" w14:paraId="0000006C">
      <w:pPr>
        <w:numPr>
          <w:ilvl w:val="0"/>
          <w:numId w:val="9"/>
        </w:numPr>
        <w:spacing w:after="0" w:afterAutospacing="0" w:lineRule="auto"/>
        <w:ind w:left="720" w:hanging="360"/>
        <w:rPr>
          <w:sz w:val="26"/>
          <w:szCs w:val="26"/>
        </w:rPr>
      </w:pPr>
      <w:r w:rsidDel="00000000" w:rsidR="00000000" w:rsidRPr="00000000">
        <w:rPr>
          <w:b w:val="1"/>
          <w:bCs w:val="1"/>
          <w:sz w:val="26"/>
          <w:szCs w:val="26"/>
          <w:rtl w:val="0"/>
        </w:rPr>
        <w:t xml:space="preserve">Expected Return:</w:t>
      </w:r>
      <w:r w:rsidDel="00000000" w:rsidR="00000000" w:rsidRPr="00000000">
        <w:rPr>
          <w:sz w:val="26"/>
          <w:szCs w:val="26"/>
          <w:rtl w:val="0"/>
        </w:rPr>
        <w:t xml:space="preserve"> 11.56% | </w:t>
      </w:r>
      <w:r w:rsidDel="00000000" w:rsidR="00000000" w:rsidRPr="00000000">
        <w:rPr>
          <w:b w:val="1"/>
          <w:bCs w:val="1"/>
          <w:sz w:val="26"/>
          <w:szCs w:val="26"/>
          <w:rtl w:val="0"/>
        </w:rPr>
        <w:t xml:space="preserve">Portfolio Risk:</w:t>
      </w:r>
      <w:r w:rsidDel="00000000" w:rsidR="00000000" w:rsidRPr="00000000">
        <w:rPr>
          <w:sz w:val="26"/>
          <w:szCs w:val="26"/>
          <w:rtl w:val="0"/>
        </w:rPr>
        <w:t xml:space="preserve"> 25.83%</w:t>
      </w:r>
    </w:p>
    <w:p w:rsidR="00000000" w:rsidDel="00000000" w:rsidP="00000000" w:rsidRDefault="00000000" w:rsidRPr="00000000" w14:paraId="0000006D">
      <w:pPr>
        <w:numPr>
          <w:ilvl w:val="0"/>
          <w:numId w:val="9"/>
        </w:numPr>
        <w:spacing w:after="240" w:lineRule="auto"/>
        <w:ind w:left="720" w:hanging="360"/>
        <w:rPr>
          <w:sz w:val="26"/>
          <w:szCs w:val="26"/>
        </w:rPr>
      </w:pPr>
      <w:r w:rsidDel="00000000" w:rsidR="00000000" w:rsidRPr="00000000">
        <w:rPr>
          <w:b w:val="1"/>
          <w:bCs w:val="1"/>
          <w:sz w:val="26"/>
          <w:szCs w:val="26"/>
          <w:rtl w:val="0"/>
        </w:rPr>
        <w:t xml:space="preserve">Allocation:</w:t>
      </w:r>
      <w:r w:rsidDel="00000000" w:rsidR="00000000" w:rsidRPr="00000000">
        <w:rPr>
          <w:sz w:val="26"/>
          <w:szCs w:val="26"/>
          <w:rtl w:val="0"/>
        </w:rPr>
        <w:t xml:space="preserve"> 20.00% evenly distributed across all 5 equities.</w:t>
      </w:r>
    </w:p>
    <w:p w:rsidR="00000000" w:rsidDel="00000000" w:rsidP="00000000" w:rsidRDefault="00000000" w:rsidRPr="00000000" w14:paraId="0000006E">
      <w:pPr>
        <w:spacing w:after="240" w:lineRule="auto"/>
        <w:rPr>
          <w:b w:val="1"/>
          <w:bCs w:val="1"/>
          <w:sz w:val="26"/>
          <w:szCs w:val="26"/>
        </w:rPr>
      </w:pPr>
      <w:r w:rsidDel="00000000" w:rsidR="00000000" w:rsidRPr="00000000">
        <w:rPr>
          <w:b w:val="1"/>
          <w:bCs w:val="1"/>
          <w:sz w:val="26"/>
          <w:szCs w:val="26"/>
          <w:rtl w:val="0"/>
        </w:rPr>
        <w:t xml:space="preserve">3. Aggressive Portfolio (Targeting Maximum Yield)</w:t>
      </w:r>
    </w:p>
    <w:p w:rsidR="00000000" w:rsidDel="00000000" w:rsidP="00000000" w:rsidRDefault="00000000" w:rsidRPr="00000000" w14:paraId="0000006F">
      <w:pPr>
        <w:numPr>
          <w:ilvl w:val="0"/>
          <w:numId w:val="8"/>
        </w:numPr>
        <w:spacing w:after="0" w:afterAutospacing="0" w:lineRule="auto"/>
        <w:ind w:left="720" w:hanging="360"/>
        <w:rPr>
          <w:sz w:val="26"/>
          <w:szCs w:val="26"/>
        </w:rPr>
      </w:pPr>
      <w:r w:rsidDel="00000000" w:rsidR="00000000" w:rsidRPr="00000000">
        <w:rPr>
          <w:b w:val="1"/>
          <w:bCs w:val="1"/>
          <w:sz w:val="26"/>
          <w:szCs w:val="26"/>
          <w:rtl w:val="0"/>
        </w:rPr>
        <w:t xml:space="preserve">Strategy:</w:t>
      </w:r>
      <w:r w:rsidDel="00000000" w:rsidR="00000000" w:rsidRPr="00000000">
        <w:rPr>
          <w:sz w:val="26"/>
          <w:szCs w:val="26"/>
          <w:rtl w:val="0"/>
        </w:rPr>
        <w:t xml:space="preserve"> Yield Maximization. Overweights capital towards historical high-performers and mathematically reduces exposure to negative long-term yielders to zero.</w:t>
      </w:r>
    </w:p>
    <w:p w:rsidR="00000000" w:rsidDel="00000000" w:rsidP="00000000" w:rsidRDefault="00000000" w:rsidRPr="00000000" w14:paraId="00000070">
      <w:pPr>
        <w:numPr>
          <w:ilvl w:val="0"/>
          <w:numId w:val="8"/>
        </w:numPr>
        <w:spacing w:after="0" w:afterAutospacing="0" w:lineRule="auto"/>
        <w:ind w:left="720" w:hanging="360"/>
        <w:rPr>
          <w:sz w:val="26"/>
          <w:szCs w:val="26"/>
        </w:rPr>
      </w:pPr>
      <w:r w:rsidDel="00000000" w:rsidR="00000000" w:rsidRPr="00000000">
        <w:rPr>
          <w:b w:val="1"/>
          <w:bCs w:val="1"/>
          <w:sz w:val="26"/>
          <w:szCs w:val="26"/>
          <w:rtl w:val="0"/>
        </w:rPr>
        <w:t xml:space="preserve">Expected Return:</w:t>
      </w:r>
      <w:r w:rsidDel="00000000" w:rsidR="00000000" w:rsidRPr="00000000">
        <w:rPr>
          <w:sz w:val="26"/>
          <w:szCs w:val="26"/>
          <w:rtl w:val="0"/>
        </w:rPr>
        <w:t xml:space="preserve"> 17.18% | </w:t>
      </w:r>
      <w:r w:rsidDel="00000000" w:rsidR="00000000" w:rsidRPr="00000000">
        <w:rPr>
          <w:b w:val="1"/>
          <w:bCs w:val="1"/>
          <w:sz w:val="26"/>
          <w:szCs w:val="26"/>
          <w:rtl w:val="0"/>
        </w:rPr>
        <w:t xml:space="preserve">Portfolio Risk:</w:t>
      </w:r>
      <w:r w:rsidDel="00000000" w:rsidR="00000000" w:rsidRPr="00000000">
        <w:rPr>
          <w:sz w:val="26"/>
          <w:szCs w:val="26"/>
          <w:rtl w:val="0"/>
        </w:rPr>
        <w:t xml:space="preserve"> 27.15%</w:t>
      </w:r>
    </w:p>
    <w:p w:rsidR="00000000" w:rsidDel="00000000" w:rsidP="00000000" w:rsidRDefault="00000000" w:rsidRPr="00000000" w14:paraId="00000071">
      <w:pPr>
        <w:numPr>
          <w:ilvl w:val="0"/>
          <w:numId w:val="8"/>
        </w:numPr>
        <w:spacing w:after="240" w:lineRule="auto"/>
        <w:ind w:left="720" w:hanging="360"/>
        <w:rPr>
          <w:sz w:val="26"/>
          <w:szCs w:val="26"/>
        </w:rPr>
      </w:pPr>
      <w:r w:rsidDel="00000000" w:rsidR="00000000" w:rsidRPr="00000000">
        <w:rPr>
          <w:b w:val="1"/>
          <w:bCs w:val="1"/>
          <w:sz w:val="26"/>
          <w:szCs w:val="26"/>
          <w:rtl w:val="0"/>
        </w:rPr>
        <w:t xml:space="preserve">Allocation:</w:t>
      </w:r>
      <w:r w:rsidDel="00000000" w:rsidR="00000000" w:rsidRPr="00000000">
        <w:rPr>
          <w:sz w:val="26"/>
          <w:szCs w:val="26"/>
          <w:rtl w:val="0"/>
        </w:rPr>
        <w:t xml:space="preserve"> MARUTI (38.83%), RELIANCE (27.55%), SBIN (22.73%), NTPC (10.88%), ONGC (0.00%).</w:t>
      </w:r>
    </w:p>
    <w:p w:rsidR="00000000" w:rsidDel="00000000" w:rsidP="00000000" w:rsidRDefault="00000000" w:rsidRPr="00000000" w14:paraId="00000072">
      <w:pPr>
        <w:pStyle w:val="Heading3"/>
        <w:keepNext w:val="0"/>
        <w:keepLines w:val="0"/>
        <w:spacing w:before="0" w:lineRule="auto"/>
        <w:rPr>
          <w:b w:val="1"/>
          <w:bCs w:val="1"/>
          <w:color w:val="000000"/>
          <w:sz w:val="30"/>
          <w:szCs w:val="30"/>
        </w:rPr>
      </w:pPr>
      <w:bookmarkStart w:colFirst="0" w:colLast="0" w:name="_nw1jmxk8ctxu" w:id="8"/>
      <w:bookmarkEnd w:id="8"/>
      <w:r w:rsidDel="00000000" w:rsidR="00000000" w:rsidRPr="00000000">
        <w:rPr>
          <w:b w:val="1"/>
          <w:bCs w:val="1"/>
          <w:color w:val="000000"/>
          <w:sz w:val="30"/>
          <w:szCs w:val="30"/>
          <w:rtl w:val="0"/>
        </w:rPr>
        <w:t xml:space="preserve">Mandatory Task C: Risk Assessment Module</w:t>
      </w:r>
    </w:p>
    <w:p w:rsidR="00000000" w:rsidDel="00000000" w:rsidP="00000000" w:rsidRDefault="00000000" w:rsidRPr="00000000" w14:paraId="00000073">
      <w:pPr>
        <w:spacing w:after="240" w:lineRule="auto"/>
        <w:rPr>
          <w:b w:val="1"/>
          <w:bCs w:val="1"/>
          <w:sz w:val="26"/>
          <w:szCs w:val="26"/>
        </w:rPr>
      </w:pPr>
      <w:r w:rsidDel="00000000" w:rsidR="00000000" w:rsidRPr="00000000">
        <w:rPr>
          <w:b w:val="1"/>
          <w:bCs w:val="1"/>
          <w:sz w:val="26"/>
          <w:szCs w:val="26"/>
          <w:rtl w:val="0"/>
        </w:rPr>
        <w:t xml:space="preserve">7.1. Institutional Risk Metrics</w:t>
      </w:r>
    </w:p>
    <w:p w:rsidR="00000000" w:rsidDel="00000000" w:rsidP="00000000" w:rsidRDefault="00000000" w:rsidRPr="00000000" w14:paraId="00000074">
      <w:pPr>
        <w:spacing w:after="240" w:lineRule="auto"/>
        <w:rPr>
          <w:sz w:val="26"/>
          <w:szCs w:val="26"/>
        </w:rPr>
      </w:pPr>
      <w:r w:rsidDel="00000000" w:rsidR="00000000" w:rsidRPr="00000000">
        <w:rPr>
          <w:sz w:val="26"/>
          <w:szCs w:val="26"/>
          <w:rtl w:val="0"/>
        </w:rPr>
        <w:t xml:space="preserve">To ensure users fully comprehend the downside of their investments, a dedicated risk-analytics engine evaluates historical drawdowns against a baseline risk-free rate ($R_f$) of 6% (proxy for Indian government bonds).</w:t>
      </w:r>
    </w:p>
    <w:p w:rsidR="00000000" w:rsidDel="00000000" w:rsidP="00000000" w:rsidRDefault="00000000" w:rsidRPr="00000000" w14:paraId="00000075">
      <w:pPr>
        <w:spacing w:after="240" w:lineRule="auto"/>
        <w:rPr>
          <w:sz w:val="26"/>
          <w:szCs w:val="26"/>
        </w:rPr>
      </w:pPr>
      <w:r w:rsidDel="00000000" w:rsidR="00000000" w:rsidRPr="00000000">
        <w:rPr>
          <w:b w:val="1"/>
          <w:bCs w:val="1"/>
          <w:sz w:val="26"/>
          <w:szCs w:val="26"/>
          <w:rtl w:val="0"/>
        </w:rPr>
        <w:t xml:space="preserve">Sharpe Ratio:</w:t>
      </w:r>
      <w:r w:rsidDel="00000000" w:rsidR="00000000" w:rsidRPr="00000000">
        <w:rPr>
          <w:sz w:val="26"/>
          <w:szCs w:val="26"/>
          <w:rtl w:val="0"/>
        </w:rPr>
        <w:t xml:space="preserve"> Evaluates total risk-adjusted return.</w:t>
      </w:r>
    </w:p>
    <w:p w:rsidR="00000000" w:rsidDel="00000000" w:rsidP="00000000" w:rsidRDefault="00000000" w:rsidRPr="00000000" w14:paraId="00000076">
      <w:pPr>
        <w:rPr/>
      </w:pPr>
      <w:r w:rsidDel="00000000" w:rsidR="00000000" w:rsidRPr="00000000">
        <w:rPr>
          <w:sz w:val="26"/>
          <w:szCs w:val="26"/>
          <w:rtl w:val="0"/>
        </w:rPr>
        <w:t xml:space="preserve">Sharpe Ratio = (Rp - Rf) / σp</w:t>
      </w:r>
      <w:r w:rsidDel="00000000" w:rsidR="00000000" w:rsidRPr="00000000">
        <w:rPr>
          <w:rtl w:val="0"/>
        </w:rPr>
      </w:r>
    </w:p>
    <w:p w:rsidR="00000000" w:rsidDel="00000000" w:rsidP="00000000" w:rsidRDefault="00000000" w:rsidRPr="00000000" w14:paraId="00000077">
      <w:pPr>
        <w:spacing w:after="240" w:lineRule="auto"/>
        <w:rPr>
          <w:sz w:val="26"/>
          <w:szCs w:val="26"/>
        </w:rPr>
      </w:pPr>
      <w:r w:rsidDel="00000000" w:rsidR="00000000" w:rsidRPr="00000000">
        <w:rPr>
          <w:b w:val="1"/>
          <w:bCs w:val="1"/>
          <w:sz w:val="26"/>
          <w:szCs w:val="26"/>
          <w:rtl w:val="0"/>
        </w:rPr>
        <w:t xml:space="preserve">Sortino Ratio:</w:t>
      </w:r>
      <w:r w:rsidDel="00000000" w:rsidR="00000000" w:rsidRPr="00000000">
        <w:rPr>
          <w:sz w:val="26"/>
          <w:szCs w:val="26"/>
          <w:rtl w:val="0"/>
        </w:rPr>
        <w:t xml:space="preserve"> A modification of the Sharpe ratio that penalizes only downside volatility ($\sigma_d$), recognizing that upward volatility is beneficial to the investor.</w:t>
      </w:r>
    </w:p>
    <w:p w:rsidR="00000000" w:rsidDel="00000000" w:rsidP="00000000" w:rsidRDefault="00000000" w:rsidRPr="00000000" w14:paraId="00000078">
      <w:pPr>
        <w:rPr/>
      </w:pPr>
      <w:r w:rsidDel="00000000" w:rsidR="00000000" w:rsidRPr="00000000">
        <w:rPr>
          <w:sz w:val="26"/>
          <w:szCs w:val="26"/>
          <w:rtl w:val="0"/>
        </w:rPr>
        <w:t xml:space="preserve">Sortino Ratio = (Rp - Rf) / σd</w:t>
      </w:r>
      <w:r w:rsidDel="00000000" w:rsidR="00000000" w:rsidRPr="00000000">
        <w:rPr>
          <w:rtl w:val="0"/>
        </w:rPr>
      </w:r>
    </w:p>
    <w:p w:rsidR="00000000" w:rsidDel="00000000" w:rsidP="00000000" w:rsidRDefault="00000000" w:rsidRPr="00000000" w14:paraId="00000079">
      <w:pPr>
        <w:spacing w:after="240" w:lineRule="auto"/>
        <w:rPr>
          <w:sz w:val="26"/>
          <w:szCs w:val="26"/>
        </w:rPr>
      </w:pPr>
      <w:r w:rsidDel="00000000" w:rsidR="00000000" w:rsidRPr="00000000">
        <w:rPr>
          <w:b w:val="1"/>
          <w:bCs w:val="1"/>
          <w:sz w:val="26"/>
          <w:szCs w:val="26"/>
          <w:rtl w:val="0"/>
        </w:rPr>
        <w:t xml:space="preserve">Maximum Drawdown (MDD):</w:t>
      </w:r>
      <w:r w:rsidDel="00000000" w:rsidR="00000000" w:rsidRPr="00000000">
        <w:rPr>
          <w:sz w:val="26"/>
          <w:szCs w:val="26"/>
          <w:rtl w:val="0"/>
        </w:rPr>
        <w:t xml:space="preserve"> Measures the largest single drop from peak to trough in the asset's history.</w:t>
      </w:r>
    </w:p>
    <w:p w:rsidR="00000000" w:rsidDel="00000000" w:rsidP="00000000" w:rsidRDefault="00000000" w:rsidRPr="00000000" w14:paraId="0000007A">
      <w:pPr>
        <w:rPr/>
      </w:pPr>
      <w:r w:rsidDel="00000000" w:rsidR="00000000" w:rsidRPr="00000000">
        <w:rPr>
          <w:sz w:val="26"/>
          <w:szCs w:val="26"/>
          <w:rtl w:val="0"/>
        </w:rPr>
        <w:t xml:space="preserve">MDD = (Trough Value - Peak Value) / Peak Value</w:t>
      </w:r>
      <w:r w:rsidDel="00000000" w:rsidR="00000000" w:rsidRPr="00000000">
        <w:rPr>
          <w:rtl w:val="0"/>
        </w:rPr>
      </w:r>
    </w:p>
    <w:p w:rsidR="00000000" w:rsidDel="00000000" w:rsidP="00000000" w:rsidRDefault="00000000" w:rsidRPr="00000000" w14:paraId="0000007B">
      <w:pPr>
        <w:spacing w:after="240" w:lineRule="auto"/>
        <w:rPr>
          <w:b w:val="1"/>
          <w:bCs w:val="1"/>
          <w:sz w:val="26"/>
          <w:szCs w:val="26"/>
        </w:rPr>
      </w:pPr>
      <w:r w:rsidDel="00000000" w:rsidR="00000000" w:rsidRPr="00000000">
        <w:rPr>
          <w:b w:val="1"/>
          <w:bCs w:val="1"/>
          <w:sz w:val="26"/>
          <w:szCs w:val="26"/>
          <w:rtl w:val="0"/>
        </w:rPr>
        <w:t xml:space="preserve">7.2. Risk Engine Results (Sample Cohort)</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275"/>
        <w:gridCol w:w="1410"/>
        <w:gridCol w:w="1260"/>
        <w:gridCol w:w="1290"/>
        <w:gridCol w:w="1650"/>
        <w:tblGridChange w:id="0">
          <w:tblGrid>
            <w:gridCol w:w="2025"/>
            <w:gridCol w:w="1275"/>
            <w:gridCol w:w="1410"/>
            <w:gridCol w:w="1260"/>
            <w:gridCol w:w="1290"/>
            <w:gridCol w:w="16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sz w:val="26"/>
                <w:szCs w:val="26"/>
              </w:rPr>
            </w:pPr>
            <w:r w:rsidDel="00000000" w:rsidR="00000000" w:rsidRPr="00000000">
              <w:rPr>
                <w:b w:val="1"/>
                <w:bCs w:val="1"/>
                <w:sz w:val="26"/>
                <w:szCs w:val="26"/>
                <w:rtl w:val="0"/>
              </w:rPr>
              <w:t xml:space="preserve">Stock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sz w:val="26"/>
                <w:szCs w:val="26"/>
              </w:rPr>
            </w:pPr>
            <w:r w:rsidDel="00000000" w:rsidR="00000000" w:rsidRPr="00000000">
              <w:rPr>
                <w:b w:val="1"/>
                <w:bCs w:val="1"/>
                <w:sz w:val="26"/>
                <w:szCs w:val="26"/>
                <w:rtl w:val="0"/>
              </w:rPr>
              <w:t xml:space="preserve">Annual Return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sz w:val="26"/>
                <w:szCs w:val="26"/>
              </w:rPr>
            </w:pPr>
            <w:r w:rsidDel="00000000" w:rsidR="00000000" w:rsidRPr="00000000">
              <w:rPr>
                <w:b w:val="1"/>
                <w:bCs w:val="1"/>
                <w:sz w:val="26"/>
                <w:szCs w:val="26"/>
                <w:rtl w:val="0"/>
              </w:rPr>
              <w:t xml:space="preserve">Volatility (σ)</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sz w:val="26"/>
                <w:szCs w:val="26"/>
              </w:rPr>
            </w:pPr>
            <w:r w:rsidDel="00000000" w:rsidR="00000000" w:rsidRPr="00000000">
              <w:rPr>
                <w:b w:val="1"/>
                <w:bCs w:val="1"/>
                <w:sz w:val="26"/>
                <w:szCs w:val="26"/>
                <w:rtl w:val="0"/>
              </w:rPr>
              <w:t xml:space="preserve">Sharpe Ratio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sz w:val="26"/>
                <w:szCs w:val="26"/>
              </w:rPr>
            </w:pPr>
            <w:r w:rsidDel="00000000" w:rsidR="00000000" w:rsidRPr="00000000">
              <w:rPr>
                <w:b w:val="1"/>
                <w:bCs w:val="1"/>
                <w:sz w:val="26"/>
                <w:szCs w:val="26"/>
                <w:rtl w:val="0"/>
              </w:rPr>
              <w:t xml:space="preserve">Sortino Ratio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sz w:val="26"/>
                <w:szCs w:val="26"/>
              </w:rPr>
            </w:pPr>
            <w:r w:rsidDel="00000000" w:rsidR="00000000" w:rsidRPr="00000000">
              <w:rPr>
                <w:b w:val="1"/>
                <w:bCs w:val="1"/>
                <w:sz w:val="26"/>
                <w:szCs w:val="26"/>
                <w:rtl w:val="0"/>
              </w:rPr>
              <w:t xml:space="preserve">Max Drawdown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sz w:val="26"/>
                <w:szCs w:val="26"/>
              </w:rPr>
            </w:pPr>
            <w:r w:rsidDel="00000000" w:rsidR="00000000" w:rsidRPr="00000000">
              <w:rPr>
                <w:b w:val="1"/>
                <w:bCs w:val="1"/>
                <w:sz w:val="26"/>
                <w:szCs w:val="26"/>
                <w:rtl w:val="0"/>
              </w:rPr>
              <w:t xml:space="preserve">TITAN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sz w:val="26"/>
                <w:szCs w:val="26"/>
              </w:rPr>
            </w:pPr>
            <w:r w:rsidDel="00000000" w:rsidR="00000000" w:rsidRPr="00000000">
              <w:rPr>
                <w:sz w:val="26"/>
                <w:szCs w:val="26"/>
                <w:rtl w:val="0"/>
              </w:rPr>
              <w:t xml:space="preserve">30.40%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sz w:val="26"/>
                <w:szCs w:val="26"/>
              </w:rPr>
            </w:pPr>
            <w:r w:rsidDel="00000000" w:rsidR="00000000" w:rsidRPr="00000000">
              <w:rPr>
                <w:sz w:val="26"/>
                <w:szCs w:val="26"/>
                <w:rtl w:val="0"/>
              </w:rPr>
              <w:t xml:space="preserve">50.00%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sz w:val="26"/>
                <w:szCs w:val="26"/>
              </w:rPr>
            </w:pPr>
            <w:r w:rsidDel="00000000" w:rsidR="00000000" w:rsidRPr="00000000">
              <w:rPr>
                <w:sz w:val="26"/>
                <w:szCs w:val="26"/>
                <w:rtl w:val="0"/>
              </w:rPr>
              <w:t xml:space="preserve">0.488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sz w:val="26"/>
                <w:szCs w:val="26"/>
              </w:rPr>
            </w:pPr>
            <w:r w:rsidDel="00000000" w:rsidR="00000000" w:rsidRPr="00000000">
              <w:rPr>
                <w:sz w:val="26"/>
                <w:szCs w:val="26"/>
                <w:rtl w:val="0"/>
              </w:rPr>
              <w:t xml:space="preserve">0.595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sz w:val="26"/>
                <w:szCs w:val="26"/>
              </w:rPr>
            </w:pPr>
            <w:r w:rsidDel="00000000" w:rsidR="00000000" w:rsidRPr="00000000">
              <w:rPr>
                <w:sz w:val="26"/>
                <w:szCs w:val="26"/>
                <w:rtl w:val="0"/>
              </w:rPr>
              <w:t xml:space="preserve">-96.69%</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sz w:val="26"/>
                <w:szCs w:val="26"/>
              </w:rPr>
            </w:pPr>
            <w:r w:rsidDel="00000000" w:rsidR="00000000" w:rsidRPr="00000000">
              <w:rPr>
                <w:b w:val="1"/>
                <w:bCs w:val="1"/>
                <w:sz w:val="26"/>
                <w:szCs w:val="26"/>
                <w:rtl w:val="0"/>
              </w:rPr>
              <w:t xml:space="preserve">TCS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sz w:val="26"/>
                <w:szCs w:val="26"/>
              </w:rPr>
            </w:pPr>
            <w:r w:rsidDel="00000000" w:rsidR="00000000" w:rsidRPr="00000000">
              <w:rPr>
                <w:sz w:val="26"/>
                <w:szCs w:val="26"/>
                <w:rtl w:val="0"/>
              </w:rPr>
              <w:t xml:space="preserve">15.22%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sz w:val="26"/>
                <w:szCs w:val="26"/>
              </w:rPr>
            </w:pPr>
            <w:r w:rsidDel="00000000" w:rsidR="00000000" w:rsidRPr="00000000">
              <w:rPr>
                <w:sz w:val="26"/>
                <w:szCs w:val="26"/>
                <w:rtl w:val="0"/>
              </w:rPr>
              <w:t xml:space="preserve">37.69%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sz w:val="26"/>
                <w:szCs w:val="26"/>
              </w:rPr>
            </w:pPr>
            <w:r w:rsidDel="00000000" w:rsidR="00000000" w:rsidRPr="00000000">
              <w:rPr>
                <w:sz w:val="26"/>
                <w:szCs w:val="26"/>
                <w:rtl w:val="0"/>
              </w:rPr>
              <w:t xml:space="preserve">0.245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sz w:val="26"/>
                <w:szCs w:val="26"/>
              </w:rPr>
            </w:pPr>
            <w:r w:rsidDel="00000000" w:rsidR="00000000" w:rsidRPr="00000000">
              <w:rPr>
                <w:sz w:val="26"/>
                <w:szCs w:val="26"/>
                <w:rtl w:val="0"/>
              </w:rPr>
              <w:t xml:space="preserve">0.251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sz w:val="26"/>
                <w:szCs w:val="26"/>
              </w:rPr>
            </w:pPr>
            <w:r w:rsidDel="00000000" w:rsidR="00000000" w:rsidRPr="00000000">
              <w:rPr>
                <w:sz w:val="26"/>
                <w:szCs w:val="26"/>
                <w:rtl w:val="0"/>
              </w:rPr>
              <w:t xml:space="preserve">-82.06%</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sz w:val="26"/>
                <w:szCs w:val="26"/>
              </w:rPr>
            </w:pPr>
            <w:r w:rsidDel="00000000" w:rsidR="00000000" w:rsidRPr="00000000">
              <w:rPr>
                <w:b w:val="1"/>
                <w:bCs w:val="1"/>
                <w:sz w:val="26"/>
                <w:szCs w:val="26"/>
                <w:rtl w:val="0"/>
              </w:rPr>
              <w:t xml:space="preserve">TATAMOTORS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sz w:val="26"/>
                <w:szCs w:val="26"/>
              </w:rPr>
            </w:pPr>
            <w:r w:rsidDel="00000000" w:rsidR="00000000" w:rsidRPr="00000000">
              <w:rPr>
                <w:sz w:val="26"/>
                <w:szCs w:val="26"/>
                <w:rtl w:val="0"/>
              </w:rPr>
              <w:t xml:space="preserve">15.80%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sz w:val="26"/>
                <w:szCs w:val="26"/>
              </w:rPr>
            </w:pPr>
            <w:r w:rsidDel="00000000" w:rsidR="00000000" w:rsidRPr="00000000">
              <w:rPr>
                <w:sz w:val="26"/>
                <w:szCs w:val="26"/>
                <w:rtl w:val="0"/>
              </w:rPr>
              <w:t xml:space="preserve">48.81%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sz w:val="26"/>
                <w:szCs w:val="26"/>
              </w:rPr>
            </w:pPr>
            <w:r w:rsidDel="00000000" w:rsidR="00000000" w:rsidRPr="00000000">
              <w:rPr>
                <w:sz w:val="26"/>
                <w:szCs w:val="26"/>
                <w:rtl w:val="0"/>
              </w:rPr>
              <w:t xml:space="preserve">0.201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sz w:val="26"/>
                <w:szCs w:val="26"/>
              </w:rPr>
            </w:pPr>
            <w:r w:rsidDel="00000000" w:rsidR="00000000" w:rsidRPr="00000000">
              <w:rPr>
                <w:sz w:val="26"/>
                <w:szCs w:val="26"/>
                <w:rtl w:val="0"/>
              </w:rPr>
              <w:t xml:space="preserve">0.251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sz w:val="26"/>
                <w:szCs w:val="26"/>
              </w:rPr>
            </w:pPr>
            <w:r w:rsidDel="00000000" w:rsidR="00000000" w:rsidRPr="00000000">
              <w:rPr>
                <w:sz w:val="26"/>
                <w:szCs w:val="26"/>
                <w:rtl w:val="0"/>
              </w:rPr>
              <w:t xml:space="preserve">-95.22%</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sz w:val="26"/>
                <w:szCs w:val="26"/>
              </w:rPr>
            </w:pPr>
            <w:r w:rsidDel="00000000" w:rsidR="00000000" w:rsidRPr="00000000">
              <w:rPr>
                <w:b w:val="1"/>
                <w:bCs w:val="1"/>
                <w:sz w:val="26"/>
                <w:szCs w:val="26"/>
                <w:rtl w:val="0"/>
              </w:rPr>
              <w:t xml:space="preserve">SUNPHARMA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sz w:val="26"/>
                <w:szCs w:val="26"/>
              </w:rPr>
            </w:pPr>
            <w:r w:rsidDel="00000000" w:rsidR="00000000" w:rsidRPr="00000000">
              <w:rPr>
                <w:sz w:val="26"/>
                <w:szCs w:val="26"/>
                <w:rtl w:val="0"/>
              </w:rPr>
              <w:t xml:space="preserve">10.06%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sz w:val="26"/>
                <w:szCs w:val="26"/>
              </w:rPr>
            </w:pPr>
            <w:r w:rsidDel="00000000" w:rsidR="00000000" w:rsidRPr="00000000">
              <w:rPr>
                <w:sz w:val="26"/>
                <w:szCs w:val="26"/>
                <w:rtl w:val="0"/>
              </w:rPr>
              <w:t xml:space="preserve">46.23%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sz w:val="26"/>
                <w:szCs w:val="26"/>
              </w:rPr>
            </w:pPr>
            <w:r w:rsidDel="00000000" w:rsidR="00000000" w:rsidRPr="00000000">
              <w:rPr>
                <w:sz w:val="26"/>
                <w:szCs w:val="26"/>
                <w:rtl w:val="0"/>
              </w:rPr>
              <w:t xml:space="preserve">0.088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sz w:val="26"/>
                <w:szCs w:val="26"/>
              </w:rPr>
            </w:pPr>
            <w:r w:rsidDel="00000000" w:rsidR="00000000" w:rsidRPr="00000000">
              <w:rPr>
                <w:sz w:val="26"/>
                <w:szCs w:val="26"/>
                <w:rtl w:val="0"/>
              </w:rPr>
              <w:t xml:space="preserve">0.085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sz w:val="26"/>
                <w:szCs w:val="26"/>
              </w:rPr>
            </w:pPr>
            <w:r w:rsidDel="00000000" w:rsidR="00000000" w:rsidRPr="00000000">
              <w:rPr>
                <w:sz w:val="26"/>
                <w:szCs w:val="26"/>
                <w:rtl w:val="0"/>
              </w:rPr>
              <w:t xml:space="preserve">-90.71%</w:t>
            </w:r>
          </w:p>
        </w:tc>
      </w:tr>
    </w:tbl>
    <w:p w:rsidR="00000000" w:rsidDel="00000000" w:rsidP="00000000" w:rsidRDefault="00000000" w:rsidRPr="00000000" w14:paraId="0000009A">
      <w:pPr>
        <w:spacing w:after="240" w:lineRule="auto"/>
        <w:rPr>
          <w:i w:val="1"/>
          <w:iCs w:val="1"/>
          <w:sz w:val="26"/>
          <w:szCs w:val="26"/>
        </w:rPr>
      </w:pPr>
      <w:r w:rsidDel="00000000" w:rsidR="00000000" w:rsidRPr="00000000">
        <w:rPr>
          <w:i w:val="1"/>
          <w:iCs w:val="1"/>
          <w:sz w:val="26"/>
          <w:szCs w:val="26"/>
          <w:rtl w:val="0"/>
        </w:rPr>
        <w:t xml:space="preserve">Note: The extreme Max Drawdowns (&gt;80%) accurately reflect the catastrophic impacts of the 2008 Global Financial Crisis and 2020 Pandemic market shocks captured within the timeline.</w:t>
      </w:r>
    </w:p>
    <w:p w:rsidR="00000000" w:rsidDel="00000000" w:rsidP="00000000" w:rsidRDefault="00000000" w:rsidRPr="00000000" w14:paraId="0000009B">
      <w:pPr>
        <w:pStyle w:val="Heading3"/>
        <w:keepNext w:val="0"/>
        <w:keepLines w:val="0"/>
        <w:spacing w:before="0" w:lineRule="auto"/>
        <w:rPr>
          <w:b w:val="1"/>
          <w:bCs w:val="1"/>
          <w:color w:val="000000"/>
          <w:sz w:val="30"/>
          <w:szCs w:val="30"/>
        </w:rPr>
      </w:pPr>
      <w:bookmarkStart w:colFirst="0" w:colLast="0" w:name="_g1mnpsijwsrt" w:id="9"/>
      <w:bookmarkEnd w:id="9"/>
      <w:r w:rsidDel="00000000" w:rsidR="00000000" w:rsidRPr="00000000">
        <w:rPr>
          <w:b w:val="1"/>
          <w:bCs w:val="1"/>
          <w:color w:val="000000"/>
          <w:sz w:val="30"/>
          <w:szCs w:val="30"/>
          <w:rtl w:val="0"/>
        </w:rPr>
        <w:t xml:space="preserve">Explainable AI &amp; Practical Deployment</w:t>
      </w:r>
    </w:p>
    <w:p w:rsidR="00000000" w:rsidDel="00000000" w:rsidP="00000000" w:rsidRDefault="00000000" w:rsidRPr="00000000" w14:paraId="0000009C">
      <w:pPr>
        <w:spacing w:after="240" w:lineRule="auto"/>
        <w:rPr>
          <w:b w:val="1"/>
          <w:bCs w:val="1"/>
          <w:sz w:val="26"/>
          <w:szCs w:val="26"/>
        </w:rPr>
      </w:pPr>
      <w:r w:rsidDel="00000000" w:rsidR="00000000" w:rsidRPr="00000000">
        <w:rPr>
          <w:b w:val="1"/>
          <w:bCs w:val="1"/>
          <w:sz w:val="26"/>
          <w:szCs w:val="26"/>
          <w:rtl w:val="0"/>
        </w:rPr>
        <w:t xml:space="preserve">8.1. Beyond the Black Box</w:t>
      </w:r>
    </w:p>
    <w:p w:rsidR="00000000" w:rsidDel="00000000" w:rsidP="00000000" w:rsidRDefault="00000000" w:rsidRPr="00000000" w14:paraId="0000009D">
      <w:pPr>
        <w:spacing w:after="240" w:lineRule="auto"/>
        <w:rPr>
          <w:sz w:val="26"/>
          <w:szCs w:val="26"/>
        </w:rPr>
      </w:pPr>
      <w:r w:rsidDel="00000000" w:rsidR="00000000" w:rsidRPr="00000000">
        <w:rPr>
          <w:sz w:val="26"/>
          <w:szCs w:val="26"/>
          <w:rtl w:val="0"/>
        </w:rPr>
        <w:t xml:space="preserve">A critical directive of this challenge was to emphasize explainability. The platform achieves this by ensuring that predictive outputs are never presented in isolation.</w:t>
      </w:r>
    </w:p>
    <w:p w:rsidR="00000000" w:rsidDel="00000000" w:rsidP="00000000" w:rsidRDefault="00000000" w:rsidRPr="00000000" w14:paraId="0000009E">
      <w:pPr>
        <w:spacing w:after="240" w:lineRule="auto"/>
        <w:rPr>
          <w:sz w:val="26"/>
          <w:szCs w:val="26"/>
        </w:rPr>
      </w:pPr>
      <w:r w:rsidDel="00000000" w:rsidR="00000000" w:rsidRPr="00000000">
        <w:rPr>
          <w:sz w:val="26"/>
          <w:szCs w:val="26"/>
          <w:rtl w:val="0"/>
        </w:rPr>
        <w:t xml:space="preserve">When the Random Forest engine flags a potential downward movement, the investor can immediately cross-reference the Risk Assessment module to view the asset's Maximum Drawdown history. Furthermore, the Portfolio Construction module's allocation logic is transparent: a Conservative recommendation mathematically justifies higher exposure to low-beta assets (like NTPC) rather than relying on an opaque neural network output.</w:t>
      </w:r>
    </w:p>
    <w:p w:rsidR="00000000" w:rsidDel="00000000" w:rsidP="00000000" w:rsidRDefault="00000000" w:rsidRPr="00000000" w14:paraId="0000009F">
      <w:pPr>
        <w:spacing w:after="240" w:lineRule="auto"/>
        <w:rPr>
          <w:b w:val="1"/>
          <w:bCs w:val="1"/>
          <w:sz w:val="26"/>
          <w:szCs w:val="26"/>
        </w:rPr>
      </w:pPr>
      <w:r w:rsidDel="00000000" w:rsidR="00000000" w:rsidRPr="00000000">
        <w:rPr>
          <w:b w:val="1"/>
          <w:bCs w:val="1"/>
          <w:sz w:val="26"/>
          <w:szCs w:val="26"/>
          <w:rtl w:val="0"/>
        </w:rPr>
        <w:t xml:space="preserve">8.2. Deployment Architecture</w:t>
      </w:r>
    </w:p>
    <w:p w:rsidR="00000000" w:rsidDel="00000000" w:rsidP="00000000" w:rsidRDefault="00000000" w:rsidRPr="00000000" w14:paraId="000000A0">
      <w:pPr>
        <w:spacing w:after="240" w:lineRule="auto"/>
        <w:rPr>
          <w:sz w:val="26"/>
          <w:szCs w:val="26"/>
        </w:rPr>
      </w:pPr>
      <w:r w:rsidDel="00000000" w:rsidR="00000000" w:rsidRPr="00000000">
        <w:rPr>
          <w:sz w:val="26"/>
          <w:szCs w:val="26"/>
          <w:rtl w:val="0"/>
        </w:rPr>
        <w:t xml:space="preserve">The final solution was structured as an interactive dashboard. The backend utilizes </w:t>
      </w:r>
      <w:r w:rsidDel="00000000" w:rsidR="00000000" w:rsidRPr="00000000">
        <w:rPr>
          <w:color w:val="188038"/>
          <w:sz w:val="26"/>
          <w:szCs w:val="26"/>
          <w:rtl w:val="0"/>
        </w:rPr>
        <w:t xml:space="preserve">pandas</w:t>
      </w:r>
      <w:r w:rsidDel="00000000" w:rsidR="00000000" w:rsidRPr="00000000">
        <w:rPr>
          <w:sz w:val="26"/>
          <w:szCs w:val="26"/>
          <w:rtl w:val="0"/>
        </w:rPr>
        <w:t xml:space="preserve"> and </w:t>
      </w:r>
      <w:r w:rsidDel="00000000" w:rsidR="00000000" w:rsidRPr="00000000">
        <w:rPr>
          <w:color w:val="188038"/>
          <w:sz w:val="26"/>
          <w:szCs w:val="26"/>
          <w:rtl w:val="0"/>
        </w:rPr>
        <w:t xml:space="preserve">scikit-learn</w:t>
      </w:r>
      <w:r w:rsidDel="00000000" w:rsidR="00000000" w:rsidRPr="00000000">
        <w:rPr>
          <w:sz w:val="26"/>
          <w:szCs w:val="26"/>
          <w:rtl w:val="0"/>
        </w:rPr>
        <w:t xml:space="preserve"> for data processing and machine learning inference, while the frontend leverages </w:t>
      </w:r>
      <w:r w:rsidDel="00000000" w:rsidR="00000000" w:rsidRPr="00000000">
        <w:rPr>
          <w:color w:val="188038"/>
          <w:sz w:val="26"/>
          <w:szCs w:val="26"/>
          <w:rtl w:val="0"/>
        </w:rPr>
        <w:t xml:space="preserve">matplotlib</w:t>
      </w:r>
      <w:r w:rsidDel="00000000" w:rsidR="00000000" w:rsidRPr="00000000">
        <w:rPr>
          <w:sz w:val="26"/>
          <w:szCs w:val="26"/>
          <w:rtl w:val="0"/>
        </w:rPr>
        <w:t xml:space="preserve"> and Python-based visualization frameworks to instantly render risk/reward metrics when a user alters their risk tolerance parameter.</w:t>
      </w:r>
    </w:p>
    <w:p w:rsidR="00000000" w:rsidDel="00000000" w:rsidP="00000000" w:rsidRDefault="00000000" w:rsidRPr="00000000" w14:paraId="000000A1">
      <w:pPr>
        <w:pStyle w:val="Heading3"/>
        <w:keepNext w:val="0"/>
        <w:keepLines w:val="0"/>
        <w:spacing w:before="0" w:lineRule="auto"/>
        <w:rPr>
          <w:b w:val="1"/>
          <w:bCs w:val="1"/>
          <w:color w:val="000000"/>
          <w:sz w:val="30"/>
          <w:szCs w:val="30"/>
        </w:rPr>
      </w:pPr>
      <w:bookmarkStart w:colFirst="0" w:colLast="0" w:name="_ocfyldxt79bx" w:id="10"/>
      <w:bookmarkEnd w:id="10"/>
      <w:r w:rsidDel="00000000" w:rsidR="00000000" w:rsidRPr="00000000">
        <w:rPr>
          <w:b w:val="1"/>
          <w:bCs w:val="1"/>
          <w:color w:val="000000"/>
          <w:sz w:val="30"/>
          <w:szCs w:val="30"/>
          <w:rtl w:val="0"/>
        </w:rPr>
        <w:t xml:space="preserve">Conclusion &amp; Limitations</w:t>
      </w:r>
    </w:p>
    <w:p w:rsidR="00000000" w:rsidDel="00000000" w:rsidP="00000000" w:rsidRDefault="00000000" w:rsidRPr="00000000" w14:paraId="000000A2">
      <w:pPr>
        <w:spacing w:after="240" w:lineRule="auto"/>
        <w:rPr>
          <w:b w:val="1"/>
          <w:bCs w:val="1"/>
          <w:sz w:val="26"/>
          <w:szCs w:val="26"/>
        </w:rPr>
      </w:pPr>
      <w:r w:rsidDel="00000000" w:rsidR="00000000" w:rsidRPr="00000000">
        <w:rPr>
          <w:b w:val="1"/>
          <w:bCs w:val="1"/>
          <w:sz w:val="26"/>
          <w:szCs w:val="26"/>
          <w:rtl w:val="0"/>
        </w:rPr>
        <w:t xml:space="preserve">9.1. System Limitations</w:t>
      </w:r>
    </w:p>
    <w:p w:rsidR="00000000" w:rsidDel="00000000" w:rsidP="00000000" w:rsidRDefault="00000000" w:rsidRPr="00000000" w14:paraId="000000A3">
      <w:pPr>
        <w:spacing w:after="240" w:lineRule="auto"/>
        <w:rPr>
          <w:sz w:val="26"/>
          <w:szCs w:val="26"/>
        </w:rPr>
      </w:pPr>
      <w:r w:rsidDel="00000000" w:rsidR="00000000" w:rsidRPr="00000000">
        <w:rPr>
          <w:sz w:val="26"/>
          <w:szCs w:val="26"/>
          <w:rtl w:val="0"/>
        </w:rPr>
        <w:t xml:space="preserve">While robust, the current architecture faces specific constraints:</w:t>
      </w:r>
    </w:p>
    <w:p w:rsidR="00000000" w:rsidDel="00000000" w:rsidP="00000000" w:rsidRDefault="00000000" w:rsidRPr="00000000" w14:paraId="000000A4">
      <w:pPr>
        <w:numPr>
          <w:ilvl w:val="0"/>
          <w:numId w:val="7"/>
        </w:numPr>
        <w:spacing w:after="0" w:afterAutospacing="0" w:lineRule="auto"/>
        <w:ind w:left="720" w:hanging="360"/>
        <w:rPr>
          <w:sz w:val="26"/>
          <w:szCs w:val="26"/>
        </w:rPr>
      </w:pPr>
      <w:r w:rsidDel="00000000" w:rsidR="00000000" w:rsidRPr="00000000">
        <w:rPr>
          <w:b w:val="1"/>
          <w:bCs w:val="1"/>
          <w:sz w:val="26"/>
          <w:szCs w:val="26"/>
          <w:rtl w:val="0"/>
        </w:rPr>
        <w:t xml:space="preserve">Reliance on Historical Stationarity:</w:t>
      </w:r>
      <w:r w:rsidDel="00000000" w:rsidR="00000000" w:rsidRPr="00000000">
        <w:rPr>
          <w:sz w:val="26"/>
          <w:szCs w:val="26"/>
          <w:rtl w:val="0"/>
        </w:rPr>
        <w:t xml:space="preserve"> The system assumes that historical covariance and volatility profiles will somewhat mirror future states. Sudden macroeconomic regime shifts (e.g., hyperinflation, regulatory changes) are not captured by pure technical indicators.</w:t>
      </w:r>
    </w:p>
    <w:p w:rsidR="00000000" w:rsidDel="00000000" w:rsidP="00000000" w:rsidRDefault="00000000" w:rsidRPr="00000000" w14:paraId="000000A5">
      <w:pPr>
        <w:numPr>
          <w:ilvl w:val="0"/>
          <w:numId w:val="7"/>
        </w:numPr>
        <w:spacing w:after="240" w:lineRule="auto"/>
        <w:ind w:left="720" w:hanging="360"/>
        <w:rPr>
          <w:sz w:val="26"/>
          <w:szCs w:val="26"/>
        </w:rPr>
      </w:pPr>
      <w:r w:rsidDel="00000000" w:rsidR="00000000" w:rsidRPr="00000000">
        <w:rPr>
          <w:b w:val="1"/>
          <w:bCs w:val="1"/>
          <w:sz w:val="26"/>
          <w:szCs w:val="26"/>
          <w:rtl w:val="0"/>
        </w:rPr>
        <w:t xml:space="preserve">Exclusion of Fundamental Data:</w:t>
      </w:r>
      <w:r w:rsidDel="00000000" w:rsidR="00000000" w:rsidRPr="00000000">
        <w:rPr>
          <w:sz w:val="26"/>
          <w:szCs w:val="26"/>
          <w:rtl w:val="0"/>
        </w:rPr>
        <w:t xml:space="preserve"> By constraint, the platform relies strictly on the provided datasets. Incorporating real-time P/E ratios, quarterly earnings reports, or sentiment analysis would drastically improve the Random Forest's classification precision.</w:t>
      </w:r>
    </w:p>
    <w:p w:rsidR="00000000" w:rsidDel="00000000" w:rsidP="00000000" w:rsidRDefault="00000000" w:rsidRPr="00000000" w14:paraId="000000A6">
      <w:pPr>
        <w:spacing w:after="240" w:lineRule="auto"/>
        <w:rPr>
          <w:b w:val="1"/>
          <w:bCs w:val="1"/>
          <w:sz w:val="26"/>
          <w:szCs w:val="26"/>
        </w:rPr>
      </w:pPr>
      <w:r w:rsidDel="00000000" w:rsidR="00000000" w:rsidRPr="00000000">
        <w:rPr>
          <w:b w:val="1"/>
          <w:bCs w:val="1"/>
          <w:sz w:val="26"/>
          <w:szCs w:val="26"/>
          <w:rtl w:val="0"/>
        </w:rPr>
        <w:t xml:space="preserve">9.2. Conclusion</w:t>
      </w:r>
    </w:p>
    <w:p w:rsidR="00000000" w:rsidDel="00000000" w:rsidP="00000000" w:rsidRDefault="00000000" w:rsidRPr="00000000" w14:paraId="000000A7">
      <w:pPr>
        <w:spacing w:after="240" w:lineRule="auto"/>
        <w:rPr>
          <w:sz w:val="26"/>
          <w:szCs w:val="26"/>
        </w:rPr>
      </w:pPr>
      <w:r w:rsidDel="00000000" w:rsidR="00000000" w:rsidRPr="00000000">
        <w:rPr>
          <w:sz w:val="26"/>
          <w:szCs w:val="26"/>
          <w:rtl w:val="0"/>
        </w:rPr>
        <w:t xml:space="preserve">The Data-Driven Investment Intelligence platform successfully answers the mandate of the NIFTY 50 Cult Open Project. By systematically preprocessing two decades of raw market data, engineering financial indicators, deploying non-linear machine learning for trend prediction, and synthesizing the results through Modern Portfolio Theory, the system effectively transforms raw data into a functional decision-support tool. It proves that combining disciplined quantitative risk metrics with algorithmic prediction provides a superior framework for navigating the volatility of the Indian equities market.</w:t>
      </w:r>
    </w:p>
    <w:p w:rsidR="00000000" w:rsidDel="00000000" w:rsidP="00000000" w:rsidRDefault="00000000" w:rsidRPr="00000000" w14:paraId="000000A8">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