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Member Service Performance: Insights &amp; Recommendations</w:t>
      </w:r>
    </w:p>
    <w:p>
      <w:pPr>
        <w:spacing w:after="60" w:before="0" w:line="276"/>
      </w:pPr>
      <w:r>
        <w:rPr>
          <w:rFonts w:ascii="Arial" w:cs="Arial" w:eastAsia="Arial" w:hAnsi="Arial"/>
          <w:color w:val="5A5955"/>
          <w:sz w:val="18"/>
          <w:szCs w:val="18"/>
        </w:rPr>
        <w:t xml:space="preserve">Decision memo for Member Service leadership  ·  Round 1 BI Analyst assessment  ·  Prepared by Piyush  ·  October 2026</w:t>
      </w:r>
    </w:p>
    <w:p>
      <w:pPr>
        <w:spacing w:after="200" w:before="0" w:line="276"/>
      </w:pPr>
      <w:r>
        <w:rPr>
          <w:rFonts w:ascii="Arial" w:cs="Arial" w:eastAsia="Arial" w:hAnsi="Arial"/>
          <w:color w:val="5A5955"/>
          <w:sz w:val="18"/>
          <w:szCs w:val="18"/>
        </w:rPr>
        <w:t xml:space="preserve">Data: Jan–Jun 2026, 3,992 cleaned interactions (4,004 raw), 400 members, monthly targets. All data is synthetic. Supporting work: SQL scripts, Python notebooks, interactive dashboard.</w:t>
      </w:r>
    </w:p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Bottom line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Service is not improving: it got worse in May and has not recovered, but the scorecard does not show it.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Average wait met its 65-second target every month, so the headline looks healthy. Underneath, one queue broke: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From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May 1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phone contacts about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Credit Card or Payment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(about 19% of volume) went from a 51s to a 137s average wait.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68%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of these callers now wait over 2 minutes,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 in 5 hangs up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(up from 3%), and resolution fell from 80% to 67%.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one queue accounts for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96% of the increase in wait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97% of the increase in abandonment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almost all of the drop in resolution. Every other channel and phone queue is flat.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the same time,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demand rose 28%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across every channel (609 → 778 contacts a month), led by Payment and Transfer requests.</w:t>
      </w:r>
    </w:p>
    <w:p>
      <w:pPr>
        <w:spacing w:after="120" w:before="8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Ask of leadership: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(1) restore capacity on the card/payment phone queue now and find what changed on May 1; (2) add a wait standard (90% of calls answered within 90s) and an abandonment target, so that an on-target average can no longer hide a failing tail.</w:t>
      </w:r>
    </w:p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I-1 · Five findings leadership needs to know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500"/>
        <w:gridCol w:w="4060"/>
        <w:gridCol w:w="2800"/>
      </w:tblGrid>
      <w:tr>
        <w:trPr>
          <w:tblHeader/>
        </w:trPr>
        <w:tc>
          <w:tcPr>
            <w:tcW w:type="dxa" w:w="250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Finding</w:t>
            </w:r>
          </w:p>
        </w:tc>
        <w:tc>
          <w:tcPr>
            <w:tcW w:type="dxa" w:w="406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Evidence (quantified)</w:t>
            </w:r>
          </w:p>
        </w:tc>
        <w:tc>
          <w:tcPr>
            <w:tcW w:type="dxa" w:w="280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The scorecard says "on target"; members are waiting much longer.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Avg wait 37s → 54s (+44%), still under the 65s target, so it showed green all 6 months. But waits over 2 minutes rose from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0.1% to 12.9%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of contacts, P90 wait went from 74s to 135s, and abandoned contacts rose from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22 to 54 a month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 average-only target hides the tail, which is where members give up. Leadership is getting false comfort from the one wait metric it tracks.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One queue explains the deterioration: phone, Credit Card or Payment.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Hot-spot wait 51s → 137s; abandonment 2.9% → 21.2%; resolution 80.5% → 67.1%; satisfaction (responders) 2.71 → 1.97. Other phone contacts 50s → 50s; Digital, Chat and Branch flat. Phone = 96% of the wait change (contribution decomposition, SQL-3).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fix is targeted, not organization-wide. Resources can go to one queue instead of across the whole contact center.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It was a step change on May 1, it hit every team equally, and it is not explained by volume or member mix.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Change-point analysis puts the break at May 1 (51s → 138s, no recovery through June). All four teams rose by about 80–89s. Other phone contacts absorbed +24% volume with no wait change. After controlling for team, channel, segment, region, tenure and digital adoption, the effect stays at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+85s (95% CI 80–90s)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points to a discrete operational event (staffing, schedule, routing/IVR, a card or payment system issue, or a policy change), not team performance. Operations can likely identify and reverse it.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Resolution missed target every month, and the real first-contact fix rate is lower than reported.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Reported resolution 80.4% → 77.7% (target 82%; June 77.3%). If the hot spot had held its Jan–Apr resolution rate, May–Jun would be about 80.2%.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"Resolved-and-stayed-resolved"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 (resolved, with no same-reason contact within 7 days) fell further: 75.7% → 71.9%.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About 1 in 12 contacts coded "Resolved" comes back about the same issue within a week. The KPI leadership watches overstates how often members actually get their issue fixed.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Demand grew 28% across the board, so capacity risk is wider than the hot spot.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Contacts per month 609 → 778. Unique members contacting per month +10% (311 → 343), and contacts per member up from 1.96 to 2.27. Payment requests +47% and Transfer +42%. Growth is spread across all channels (Phone +27%, Chat +39%, Digital +24%), and Digital is not taking share (24% of volume in both periods). Estimated handling cost +33% ($3.2K → $4.3K a month).</w:t>
            </w:r>
          </w:p>
        </w:tc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Even after the hot spot is fixed, current staffing is absorbing ~170 extra contacts a month. If growth continues, other queues will tip next. The rise in Payment/Transfer contacts suggests a self-service gap worth investigating.</w:t>
            </w:r>
          </w:p>
        </w:tc>
      </w:tr>
    </w:tbl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I-2 · Three insights not requested in the brief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1. The requested "7-day repeat contact" metric mostly measures contact frequency, not failure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Any-reason repeat rose from 32.6% to 39.4%, which looks alarming. But if each member kept the same number of contacts and those contacts fell on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random dates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the rate would still be 32% (Jan–Apr) and 38% (May–Jun). Only about 1–2 points are excess. The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same-reason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repeat rate (6.1% → 8.5%; 37 → 58 contacts a month) is the meaningful signal, and it did rise by about 40%.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it matters: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if leadership targets the any-reason version, it will chase volume, not quality.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2. The outcome code "Resolved" barely predicts whether the member comes back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May–Jun, 8.4% of contacts coded Resolved came back about the same reason within 7 days, versus 8.8% of contacts coded unresolved. If the code were reliable, resolved contacts should return far less often.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it matters: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resolution rate, a target KPI, may reflect agent coding habits more than outcomes. A coding audit (QA sample) is cheap and protects every resolution-based decision.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3. The scorecard has no target for the metrics that broke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Abandonment (doubled), waits over 2 minutes (0.1% → 12.9%), and repeat contacts have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 targets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so the May failure was invisible on the official scorecard. Satisfaction, the only experience target, is too thin and possibly mis-scaled to act on (see I-4).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 it matters: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this is a governance risk as much as a service one. The automated KPI pack built for this assessment (PY-3) would have flagged the hot spot in the first month (May) using a simple "wait ≥ 1.5× its trailing 3-month average" rule.</w:t>
      </w:r>
    </w:p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I-3 · Recommendations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R1. Restore card/payment phone capacity and find the May 1 change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Finding 2–3: hot-spot wait 51s → 137s from May 1; 31 abandoned contacts a month in that queue; all teams affected.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Within 1 week, review May 1 staffing, schedules, IVR/routing rules, card/payment system incidents and policy changes. Meanwhile, add overflow routing from other phone queues (which have spare capacity at a flat 50s wait) and offer a callback when the forecast wait exceeds 90s.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Hot-spot wait back to ≤ 65s average; about 15–20 fewer abandoned contacts a month (PY-2 model); resolution back to about 80%.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Overflow may lengthen other queues slightly; callbacks add outbound workload.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Contact Center Operations Manager + Workforce Management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Hot-spot % waits &gt; 2 min &lt; 5% and abandonment &lt; 5% for 4 consecutive weeks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R2. Add a tail-wait service level and an abandonment target to the scorecard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Finding 1: average on target while 12.9% of contacts waited over 2 min. PY-2: abandonment risk climbs steeply after ~90s.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"90% of phone contacts answered within 90s" and "abandonment ≤ 4%" as formal monthly KPIs; keep the average as context.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next queue failure shows red on the scorecard in the month it happens.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stricter standard may require more staffing; set the level with WFM using the abandonment curve.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VP Member Service (decision); BI (build)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KPIs live in the monthly pack by next cycle; targets agreed and signed off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R3. Replace any-reason repeat with same-reason repeat, and audit outcome coding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Insights 1–2: any-reason repeat is near the random-timing baseline; "Resolved" returns as often as unresolved.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Adopt same-reason 7-day repeat and "resolved-and-stayed-resolved" as the quality KPIs. Run a 200-contact QA audit of outcome codes and recalibrate coding guidance.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resolution KPI leadership can trust; fewer repeat contacts once real fixes are measured.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Same-reason repeat depends on reason-code accuracy; the audit needs QA time.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Quality Assurance Lead + BI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complete within 6 weeks; agreement between code and member behavior improves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R4. Fix satisfaction measurement before using it as a target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I-4: 28% response, ±0.2 monthly margin of error, ~1.5 points below target every month, most common score is 1.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the scale direction and survey method behind the 4.2 target. Increase the response rate (post-contact SMS), and report n and response rate with every score.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satisfaction KPI that can support decisions, or a corrected target.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the scale is confirmed correct, satisfaction is a serious problem on its own and needs its own investigation.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Experience / CX Research Lead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Scale confirmed in 2 weeks; response rate ≥ 35%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R5. Investigate demand growth in Payment and Transfer contacts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Finding 5: Payment +47%, Transfer +42%; contacts per member up 16%; Digital share flat.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Pull digital funnel and app error data for payments and transfers; interview agents on top call drivers; fix the top 2 self-service failure points.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Lower contact volume per member; more capacity across all queues.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Needs digital analytics data not in this dataset; product changes take time.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Banking Product Owner + Operations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+ Transfer contacts per member back to Jan–Apr levels within 2 quarters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R6. Automate the monthly (and weekly) KPI pack with hot-spot alerts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Supporting evidence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Insight 3: the problem went unseen; the PY-3 script flagged it in May data.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Proposed action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Productionize the PY-3 pack: scheduled refresh, data controls, alert email to Operations when any queue breaches its wait rule.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 business outcome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Detection within days, not months; about 3–4 hours a month of manual reporting saved.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Key risk / trade-off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fatigue if thresholds are too sensitive; needs a data owner.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Suggested owner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 Team (build); Ops Manager (alert owner)</w:t>
            </w:r>
          </w:p>
        </w:tc>
      </w:tr>
      <w:tr>
        <w:trPr>
          <w:cantSplit/>
        </w:trPr>
        <w:tc>
          <w:tcPr>
            <w:tcW w:type="dxa" w:w="2300"/>
            <w:shd w:fill="F7F6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Success indicator</w:t>
            </w:r>
          </w:p>
        </w:tc>
        <w:tc>
          <w:tcPr>
            <w:tcW w:type="dxa" w:w="7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Alerts live; time from breach to detection ≤ 7 days</w:t>
            </w:r>
          </w:p>
        </w:tc>
      </w:tr>
    </w:tbl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I-4 · What the data does NOT support, and what to request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Conclusions the data does not support: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Why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the May 1 step change happened. The data shows where and when, not the cause.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members are deeply dissatisfied. The 2.7 vs 4.2 gap may be a scale or method problem, and responders are only 28% of contacts.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rising repeats mean more failed fixes. Most of the rise is a frequency effect (I-2).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Dollar impact. Estimated_Cost is a formula (handle seconds × $0.012, +$3 per transfer), not actual cost, and there is no data on revenue, attrition or member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long waits cause member attrition. There is no attrition or account-closure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That any team or agent is underperforming. The effect is identical across teams, and there is no agent-level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Anything after June 30, or seasonality. Six months is too short to separate seasonal patterns from real change.</w:t>
      </w:r>
    </w:p>
    <w:p>
      <w:pPr>
        <w:spacing w:after="60"/>
      </w:pP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Additional data requested</w:t>
            </w:r>
          </w:p>
        </w:tc>
        <w:tc>
          <w:tcPr>
            <w:tcW w:type="dxa" w:w="468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it is needed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Workforce data: scheduled vs actual staff by queue and interval, adherence, skills routing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whether the May 1 change was a staffing or skills change (R1)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IVR/ACD routing change log and system incident log (card platform, payments)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Identify the discrete event behind the step change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Interval-level (time-of-day) contact data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 staffing gaps by hour; daily averages hide peaks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Survey metadata: scale direction, sampling method, how the 4.2 target was set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Decide whether satisfaction can be a target (R4)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Abandon timestamps (time to hang-up) vs queue wait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Correct the right-censored wait on abandoned contacts in the model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cost per contact by channel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Turn volume and transfer changes into dollars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funnel and error logs for payments and transfers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Explain the Payment/Transfer demand surge (R5)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Member outcomes: attrition, product closures, complaints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service failure to business impact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 audit sample of outcome codes; agent IDs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 the resolution KPI and coaching needs (R3)</w:t>
            </w:r>
          </w:p>
        </w:tc>
      </w:tr>
    </w:tbl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I-5 · Prioritization: Now / Next / Later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Ranked on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business impact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(members affected, size of deterioration),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urgency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(is harm happening now?),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effort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dependencies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risk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of acting or not acting.</w:t>
      </w:r>
    </w:p>
    <w:tbl>
      <w:tblPr>
        <w:tblW w:type="dxa" w:w="9360"/>
        <w:tblBorders>
          <w:top w:val="single" w:color="D6D4CD" w:sz="4"/>
          <w:left w:val="single" w:color="D6D4CD" w:sz="4"/>
          <w:bottom w:val="single" w:color="D6D4CD" w:sz="4"/>
          <w:right w:val="single" w:color="D6D4CD" w:sz="4"/>
          <w:insideH w:val="single" w:color="D6D4CD" w:sz="4"/>
          <w:insideV w:val="single" w:color="D6D4CD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Horizon</w:t>
            </w:r>
          </w:p>
        </w:tc>
        <w:tc>
          <w:tcPr>
            <w:tcW w:type="dxa" w:w="310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4560"/>
            <w:shd w:fill="EFEEE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Why here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(0–30 days)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R1 Restore card/payment capacity; find the May 1 change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impact and urgency: ~146 contacts a month at 137s wait, 1 in 5 abandoning, ongoing for 2 months. Low-to-medium effort (overflow, callback), no data dependency to start.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Now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(0–30 days)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R2 Add a 90s service level and abandonment target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effort (data already exists). Prevents the next silent failure. Needs a leadership decision only.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(1–3 months)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R6 Automate KPI pack + weekly alerts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effort, already prototyped (PY-3). Depends on a data owner and a scheduled extract.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(1–3 months)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R3 Same-reason repeat + outcome-coding audit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 impact on KPI trust; needs QA time. Do it before resolution targets drive incentives.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Next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(1–3 months)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R4 Fix satisfaction measurement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effort to confirm the scale; blocks any satisfaction-based decision.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Later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 (3–6 months)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R5 Reduce Payment/Transfer demand through digital fixes</w:t>
            </w:r>
          </w:p>
        </w:tc>
        <w:tc>
          <w:tcPr>
            <w:tcW w:type="dxa" w:w="4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Potentially the largest long-term saving, but needs data not yet available and product roadmap time.</w:t>
            </w:r>
          </w:p>
        </w:tc>
      </w:tr>
    </w:tbl>
    <w:p>
      <w:pPr>
        <w:pStyle w:val="Heading1"/>
        <w:pBdr>
          <w:bottom w:val="single" w:color="D6D4CD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Method in one paragraph</w:t>
      </w:r>
    </w:p>
    <w:p>
      <w:pPr>
        <w:spacing w:after="120" w:before="0" w:line="276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Data was profiled and cleaned in SQL (DuckDB): 12 exact duplicates removed, channel casing standardized, missing waits excluded only from wait KPIs, satisfaction never imputed, and repeat windows censored for the last 7 days. KPIs and targets were computed monthly. Period changes were decomposed into rate and mix contributions and ranked with window functions. Python independently re-derived the results from the raw Excel file (14 of 14 checks match), tested seven root-cause hypotheses, fitted a validated abandonment-risk model, and automated the monthly pack with data controls. Findings are associations; causal claims are labelled as such.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5955"/>
        <w:sz w:val="16"/>
        <w:szCs w:val="16"/>
      </w:rPr>
      <w:t xml:space="preserve">Insights &amp; Recommendations  ·  synthetic assessment data  ·  page </w:t>
    </w:r>
    <w:r>
      <w:rPr>
        <w:rFonts w:ascii="Arial" w:cs="Arial" w:eastAsia="Arial" w:hAnsi="Arial"/>
        <w:color w:val="5A59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Insights &amp; Recommendations</dc:title>
  <dc:creator>Piyush</dc:creator>
  <cp:lastModifiedBy>Un-named</cp:lastModifiedBy>
  <cp:revision>1</cp:revision>
  <dcterms:created xsi:type="dcterms:W3CDTF">2026-10-21T01:16:30.699Z</dcterms:created>
  <dcterms:modified xsi:type="dcterms:W3CDTF">2026-10-21T01:16:30.709Z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