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1A1A"/>
          <w:sz w:val="32"/>
          <w:szCs w:val="32"/>
        </w:rPr>
        <w:t xml:space="preserve">Monthly Member-Service Leadership Product: Delivery Plan &amp; Stakeholder Approach</w:t>
      </w:r>
    </w:p>
    <w:p>
      <w:pPr>
        <w:spacing w:after="200" w:before="0" w:line="276"/>
      </w:pPr>
      <w:r>
        <w:rPr>
          <w:rFonts w:ascii="Arial" w:cs="Arial" w:eastAsia="Arial" w:hAnsi="Arial"/>
          <w:color w:val="5A5955"/>
          <w:sz w:val="18"/>
          <w:szCs w:val="18"/>
        </w:rPr>
        <w:t xml:space="preserve">PM-1, PM-2 and PM-3  ·  Round 1 BI Analyst assessment  ·  Prepared by Piyush  ·  October 2026</w:t>
      </w:r>
    </w:p>
    <w:p>
      <w:pPr>
        <w:pStyle w:val="Heading1"/>
        <w:pBdr>
          <w:bottom w:val="single" w:color="D6D4CD" w:sz="6" w:space="4"/>
        </w:pBdr>
        <w:spacing w:after="120" w:before="280"/>
      </w:pPr>
      <w:r>
        <w:rPr>
          <w:rFonts w:ascii="Arial" w:cs="Arial" w:eastAsia="Arial" w:hAnsi="Arial"/>
          <w:b/>
          <w:bCs/>
          <w:color w:val="1A1A1A"/>
          <w:sz w:val="28"/>
          <w:szCs w:val="28"/>
        </w:rPr>
        <w:t xml:space="preserve">PM-1 · Implementation plan</w:t>
      </w:r>
    </w:p>
    <w:p>
      <w:pPr>
        <w:spacing w:after="120" w:before="0" w:line="276"/>
      </w:pPr>
      <w:r>
        <w:rPr>
          <w:rFonts w:ascii="Arial" w:cs="Arial" w:eastAsia="Arial" w:hAnsi="Arial"/>
          <w:b/>
          <w:bCs/>
          <w:color w:val="1A1A1A"/>
          <w:sz w:val="20"/>
          <w:szCs w:val="20"/>
        </w:rPr>
        <w:t xml:space="preserve">Goal:</w:t>
      </w:r>
      <w:r>
        <w:rPr>
          <w:rFonts w:ascii="Arial" w:cs="Arial" w:eastAsia="Arial" w:hAnsi="Arial"/>
          <w:color w:val="1A1A1A"/>
          <w:sz w:val="20"/>
          <w:szCs w:val="20"/>
        </w:rPr>
        <w:t xml:space="preserve"> turn the Round 1 analysis and dashboard into a trusted monthly leadership product (dashboard + KPI pack + alerts), live in about </w:t>
      </w:r>
      <w:r>
        <w:rPr>
          <w:rFonts w:ascii="Arial" w:cs="Arial" w:eastAsia="Arial" w:hAnsi="Arial"/>
          <w:b/>
          <w:bCs/>
          <w:color w:val="1A1A1A"/>
          <w:sz w:val="20"/>
          <w:szCs w:val="20"/>
        </w:rPr>
        <w:t xml:space="preserve">10 weeks</w:t>
      </w:r>
      <w:r>
        <w:rPr>
          <w:rFonts w:ascii="Arial" w:cs="Arial" w:eastAsia="Arial" w:hAnsi="Arial"/>
          <w:color w:val="1A1A1A"/>
          <w:sz w:val="20"/>
          <w:szCs w:val="20"/>
        </w:rPr>
        <w:t xml:space="preserve">, with clear ownership afterwards.</w:t>
      </w:r>
    </w:p>
    <w:tbl>
      <w:tblPr>
        <w:tblW w:type="dxa" w:w="9360"/>
        <w:tblBorders>
          <w:top w:val="single" w:color="D6D4CD" w:sz="4"/>
          <w:left w:val="single" w:color="D6D4CD" w:sz="4"/>
          <w:bottom w:val="single" w:color="D6D4CD" w:sz="4"/>
          <w:right w:val="single" w:color="D6D4CD" w:sz="4"/>
          <w:insideH w:val="single" w:color="D6D4CD" w:sz="4"/>
          <w:insideV w:val="single" w:color="D6D4CD" w:sz="4"/>
        </w:tblBorders>
      </w:tblPr>
      <w:tblGrid>
        <w:gridCol w:w="1900"/>
        <w:gridCol w:w="3660"/>
        <w:gridCol w:w="2200"/>
        <w:gridCol w:w="1600"/>
      </w:tblGrid>
      <w:tr>
        <w:trPr>
          <w:tblHeader/>
        </w:trPr>
        <w:tc>
          <w:tcPr>
            <w:tcW w:type="dxa" w:w="1900"/>
            <w:shd w:fill="EFEEE9"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Phase (weeks)</w:t>
            </w:r>
          </w:p>
        </w:tc>
        <w:tc>
          <w:tcPr>
            <w:tcW w:type="dxa" w:w="3660"/>
            <w:shd w:fill="EFEEE9"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Key activities</w:t>
            </w:r>
          </w:p>
        </w:tc>
        <w:tc>
          <w:tcPr>
            <w:tcW w:type="dxa" w:w="2200"/>
            <w:shd w:fill="EFEEE9"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Deliverable / exit criteria</w:t>
            </w:r>
          </w:p>
        </w:tc>
        <w:tc>
          <w:tcPr>
            <w:tcW w:type="dxa" w:w="1600"/>
            <w:shd w:fill="EFEEE9"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Owner</w:t>
            </w:r>
          </w:p>
        </w:tc>
      </w:tr>
      <w:tr>
        <w:trPr>
          <w:cantSplit/>
        </w:trPr>
        <w:tc>
          <w:tcPr>
            <w:tcW w:type="dxa" w:w="1900"/>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1. Requirements &amp; discovery</w:t>
            </w:r>
            <w:r>
              <w:rPr>
                <w:rFonts w:ascii="Arial" w:cs="Arial" w:eastAsia="Arial" w:hAnsi="Arial"/>
                <w:color w:val="1A1A1A"/>
                <w:sz w:val="18"/>
                <w:szCs w:val="18"/>
              </w:rPr>
              <w:t xml:space="preserve"> (wk 1–2)</w:t>
            </w:r>
          </w:p>
        </w:tc>
        <w:tc>
          <w:tcPr>
            <w:tcW w:type="dxa" w:w="3660"/>
            <w:tcMar>
              <w:top w:type="dxa" w:w="70"/>
              <w:left w:type="dxa" w:w="100"/>
              <w:bottom w:type="dxa" w:w="70"/>
              <w:right w:type="dxa" w:w="100"/>
            </w:tcMar>
          </w:tcPr>
          <w:p>
            <w:pPr>
              <w:spacing w:after="40" w:line="252"/>
            </w:pPr>
            <w:r>
              <w:rPr>
                <w:rFonts w:ascii="Arial" w:cs="Arial" w:eastAsia="Arial" w:hAnsi="Arial"/>
                <w:color w:val="1A1A1A"/>
                <w:sz w:val="18"/>
                <w:szCs w:val="18"/>
              </w:rPr>
              <w:t xml:space="preserve">Interview VP Member Service, Ops managers, WFM, QA, CX.</w:t>
            </w:r>
          </w:p>
          <w:p>
            <w:pPr>
              <w:spacing w:after="40" w:line="252"/>
            </w:pPr>
            <w:r>
              <w:rPr>
                <w:rFonts w:ascii="Arial" w:cs="Arial" w:eastAsia="Arial" w:hAnsi="Arial"/>
                <w:color w:val="1A1A1A"/>
                <w:sz w:val="18"/>
                <w:szCs w:val="18"/>
              </w:rPr>
              <w:t xml:space="preserve">Agree the 3–5 decisions the product must support (e.g. "where do we add capacity this month?").</w:t>
            </w:r>
          </w:p>
          <w:p>
            <w:pPr>
              <w:spacing w:after="40" w:line="252"/>
            </w:pPr>
            <w:r>
              <w:rPr>
                <w:rFonts w:ascii="Arial" w:cs="Arial" w:eastAsia="Arial" w:hAnsi="Arial"/>
                <w:color w:val="1A1A1A"/>
                <w:sz w:val="18"/>
                <w:szCs w:val="18"/>
              </w:rPr>
              <w:t xml:space="preserve">Inventory sources: interactions, members, targets, WFM, survey.</w:t>
            </w:r>
          </w:p>
        </w:tc>
        <w:tc>
          <w:tcPr>
            <w:tcW w:type="dxa" w:w="2200"/>
            <w:tcMar>
              <w:top w:type="dxa" w:w="70"/>
              <w:left w:type="dxa" w:w="100"/>
              <w:bottom w:type="dxa" w:w="70"/>
              <w:right w:type="dxa" w:w="100"/>
            </w:tcMar>
          </w:tcPr>
          <w:p>
            <w:pPr>
              <w:spacing w:after="40" w:line="252"/>
            </w:pPr>
            <w:r>
              <w:rPr>
                <w:rFonts w:ascii="Arial" w:cs="Arial" w:eastAsia="Arial" w:hAnsi="Arial"/>
                <w:color w:val="1A1A1A"/>
                <w:sz w:val="18"/>
                <w:szCs w:val="18"/>
              </w:rPr>
              <w:t xml:space="preserve">Signed requirements: decisions, audiences, refresh frequency, KPI shortlist</w:t>
            </w:r>
          </w:p>
        </w:tc>
        <w:tc>
          <w:tcPr>
            <w:tcW w:type="dxa" w:w="1600"/>
            <w:tcMar>
              <w:top w:type="dxa" w:w="70"/>
              <w:left w:type="dxa" w:w="100"/>
              <w:bottom w:type="dxa" w:w="70"/>
              <w:right w:type="dxa" w:w="100"/>
            </w:tcMar>
          </w:tcPr>
          <w:p>
            <w:pPr>
              <w:spacing w:after="40" w:line="252"/>
            </w:pPr>
            <w:r>
              <w:rPr>
                <w:rFonts w:ascii="Arial" w:cs="Arial" w:eastAsia="Arial" w:hAnsi="Arial"/>
                <w:color w:val="1A1A1A"/>
                <w:sz w:val="18"/>
                <w:szCs w:val="18"/>
              </w:rPr>
              <w:t xml:space="preserve">BI Analyst (lead), VP Member Service (sponsor)</w:t>
            </w:r>
          </w:p>
        </w:tc>
      </w:tr>
      <w:tr>
        <w:trPr>
          <w:cantSplit/>
        </w:trPr>
        <w:tc>
          <w:tcPr>
            <w:tcW w:type="dxa" w:w="1900"/>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2. Metric definitions</w:t>
            </w:r>
            <w:r>
              <w:rPr>
                <w:rFonts w:ascii="Arial" w:cs="Arial" w:eastAsia="Arial" w:hAnsi="Arial"/>
                <w:color w:val="1A1A1A"/>
                <w:sz w:val="18"/>
                <w:szCs w:val="18"/>
              </w:rPr>
              <w:t xml:space="preserve"> (wk 2–3)</w:t>
            </w:r>
          </w:p>
        </w:tc>
        <w:tc>
          <w:tcPr>
            <w:tcW w:type="dxa" w:w="3660"/>
            <w:tcMar>
              <w:top w:type="dxa" w:w="70"/>
              <w:left w:type="dxa" w:w="100"/>
              <w:bottom w:type="dxa" w:w="70"/>
              <w:right w:type="dxa" w:w="100"/>
            </w:tcMar>
          </w:tcPr>
          <w:p>
            <w:pPr>
              <w:spacing w:after="40" w:line="252"/>
            </w:pPr>
            <w:r>
              <w:rPr>
                <w:rFonts w:ascii="Arial" w:cs="Arial" w:eastAsia="Arial" w:hAnsi="Arial"/>
                <w:color w:val="1A1A1A"/>
                <w:sz w:val="18"/>
                <w:szCs w:val="18"/>
              </w:rPr>
              <w:t xml:space="preserve">Finalize KPI dictionary: formula, population, exclusions, direction, target, owner.</w:t>
            </w:r>
          </w:p>
          <w:p>
            <w:pPr>
              <w:spacing w:after="40" w:line="252"/>
            </w:pPr>
            <w:r>
              <w:rPr>
                <w:rFonts w:ascii="Arial" w:cs="Arial" w:eastAsia="Arial" w:hAnsi="Arial"/>
                <w:color w:val="1A1A1A"/>
                <w:sz w:val="18"/>
                <w:szCs w:val="18"/>
              </w:rPr>
              <w:t xml:space="preserve">Resolve open items: 90s service level, abandonment target, same-reason repeat, satisfaction scale.</w:t>
            </w:r>
          </w:p>
        </w:tc>
        <w:tc>
          <w:tcPr>
            <w:tcW w:type="dxa" w:w="2200"/>
            <w:tcMar>
              <w:top w:type="dxa" w:w="70"/>
              <w:left w:type="dxa" w:w="100"/>
              <w:bottom w:type="dxa" w:w="70"/>
              <w:right w:type="dxa" w:w="100"/>
            </w:tcMar>
          </w:tcPr>
          <w:p>
            <w:pPr>
              <w:spacing w:after="40" w:line="252"/>
            </w:pPr>
            <w:r>
              <w:rPr>
                <w:rFonts w:ascii="Arial" w:cs="Arial" w:eastAsia="Arial" w:hAnsi="Arial"/>
                <w:color w:val="1A1A1A"/>
                <w:sz w:val="18"/>
                <w:szCs w:val="18"/>
              </w:rPr>
              <w:t xml:space="preserve">Approved metric dictionary (version 1.0) and target sign-off</w:t>
            </w:r>
          </w:p>
        </w:tc>
        <w:tc>
          <w:tcPr>
            <w:tcW w:type="dxa" w:w="1600"/>
            <w:tcMar>
              <w:top w:type="dxa" w:w="70"/>
              <w:left w:type="dxa" w:w="100"/>
              <w:bottom w:type="dxa" w:w="70"/>
              <w:right w:type="dxa" w:w="100"/>
            </w:tcMar>
          </w:tcPr>
          <w:p>
            <w:pPr>
              <w:spacing w:after="40" w:line="252"/>
            </w:pPr>
            <w:r>
              <w:rPr>
                <w:rFonts w:ascii="Arial" w:cs="Arial" w:eastAsia="Arial" w:hAnsi="Arial"/>
                <w:color w:val="1A1A1A"/>
                <w:sz w:val="18"/>
                <w:szCs w:val="18"/>
              </w:rPr>
              <w:t xml:space="preserve">BI Analyst; KPI owners approve</w:t>
            </w:r>
          </w:p>
        </w:tc>
      </w:tr>
      <w:tr>
        <w:trPr>
          <w:cantSplit/>
        </w:trPr>
        <w:tc>
          <w:tcPr>
            <w:tcW w:type="dxa" w:w="1900"/>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3. Data validation</w:t>
            </w:r>
            <w:r>
              <w:rPr>
                <w:rFonts w:ascii="Arial" w:cs="Arial" w:eastAsia="Arial" w:hAnsi="Arial"/>
                <w:color w:val="1A1A1A"/>
                <w:sz w:val="18"/>
                <w:szCs w:val="18"/>
              </w:rPr>
              <w:t xml:space="preserve"> (wk 3–5)</w:t>
            </w:r>
          </w:p>
        </w:tc>
        <w:tc>
          <w:tcPr>
            <w:tcW w:type="dxa" w:w="3660"/>
            <w:tcMar>
              <w:top w:type="dxa" w:w="70"/>
              <w:left w:type="dxa" w:w="100"/>
              <w:bottom w:type="dxa" w:w="70"/>
              <w:right w:type="dxa" w:w="100"/>
            </w:tcMar>
          </w:tcPr>
          <w:p>
            <w:pPr>
              <w:spacing w:after="40" w:line="252"/>
            </w:pPr>
            <w:r>
              <w:rPr>
                <w:rFonts w:ascii="Arial" w:cs="Arial" w:eastAsia="Arial" w:hAnsi="Arial"/>
                <w:color w:val="1A1A1A"/>
                <w:sz w:val="18"/>
                <w:szCs w:val="18"/>
              </w:rPr>
              <w:t xml:space="preserve">Move the SQL pipeline (raw → staging → analysis) into the governed warehouse.</w:t>
            </w:r>
          </w:p>
          <w:p>
            <w:pPr>
              <w:spacing w:after="40" w:line="252"/>
            </w:pPr>
            <w:r>
              <w:rPr>
                <w:rFonts w:ascii="Arial" w:cs="Arial" w:eastAsia="Arial" w:hAnsi="Arial"/>
                <w:color w:val="1A1A1A"/>
                <w:sz w:val="18"/>
                <w:szCs w:val="18"/>
              </w:rPr>
              <w:t xml:space="preserve">Automate the controls from PY-3 (schema, duplicates, unmapped categories, referential integrity, volume swings).</w:t>
            </w:r>
          </w:p>
          <w:p>
            <w:pPr>
              <w:spacing w:after="40" w:line="252"/>
            </w:pPr>
            <w:r>
              <w:rPr>
                <w:rFonts w:ascii="Arial" w:cs="Arial" w:eastAsia="Arial" w:hAnsi="Arial"/>
                <w:color w:val="1A1A1A"/>
                <w:sz w:val="18"/>
                <w:szCs w:val="18"/>
              </w:rPr>
              <w:t xml:space="preserve">Reconcile 3 months against source systems and the finance contact count.</w:t>
            </w:r>
          </w:p>
        </w:tc>
        <w:tc>
          <w:tcPr>
            <w:tcW w:type="dxa" w:w="2200"/>
            <w:tcMar>
              <w:top w:type="dxa" w:w="70"/>
              <w:left w:type="dxa" w:w="100"/>
              <w:bottom w:type="dxa" w:w="70"/>
              <w:right w:type="dxa" w:w="100"/>
            </w:tcMar>
          </w:tcPr>
          <w:p>
            <w:pPr>
              <w:spacing w:after="40" w:line="252"/>
            </w:pPr>
            <w:r>
              <w:rPr>
                <w:rFonts w:ascii="Arial" w:cs="Arial" w:eastAsia="Arial" w:hAnsi="Arial"/>
                <w:color w:val="1A1A1A"/>
                <w:sz w:val="18"/>
                <w:szCs w:val="18"/>
              </w:rPr>
              <w:t xml:space="preserve">All controls automated; reconciliation within ±0.5%</w:t>
            </w:r>
          </w:p>
        </w:tc>
        <w:tc>
          <w:tcPr>
            <w:tcW w:type="dxa" w:w="1600"/>
            <w:tcMar>
              <w:top w:type="dxa" w:w="70"/>
              <w:left w:type="dxa" w:w="100"/>
              <w:bottom w:type="dxa" w:w="70"/>
              <w:right w:type="dxa" w:w="100"/>
            </w:tcMar>
          </w:tcPr>
          <w:p>
            <w:pPr>
              <w:spacing w:after="40" w:line="252"/>
            </w:pPr>
            <w:r>
              <w:rPr>
                <w:rFonts w:ascii="Arial" w:cs="Arial" w:eastAsia="Arial" w:hAnsi="Arial"/>
                <w:color w:val="1A1A1A"/>
                <w:sz w:val="18"/>
                <w:szCs w:val="18"/>
              </w:rPr>
              <w:t xml:space="preserve">BI / Data Engineering; source system owners</w:t>
            </w:r>
          </w:p>
        </w:tc>
      </w:tr>
      <w:tr>
        <w:trPr>
          <w:cantSplit/>
        </w:trPr>
        <w:tc>
          <w:tcPr>
            <w:tcW w:type="dxa" w:w="1900"/>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4. Development</w:t>
            </w:r>
            <w:r>
              <w:rPr>
                <w:rFonts w:ascii="Arial" w:cs="Arial" w:eastAsia="Arial" w:hAnsi="Arial"/>
                <w:color w:val="1A1A1A"/>
                <w:sz w:val="18"/>
                <w:szCs w:val="18"/>
              </w:rPr>
              <w:t xml:space="preserve"> (wk 4–7)</w:t>
            </w:r>
          </w:p>
        </w:tc>
        <w:tc>
          <w:tcPr>
            <w:tcW w:type="dxa" w:w="3660"/>
            <w:tcMar>
              <w:top w:type="dxa" w:w="70"/>
              <w:left w:type="dxa" w:w="100"/>
              <w:bottom w:type="dxa" w:w="70"/>
              <w:right w:type="dxa" w:w="100"/>
            </w:tcMar>
          </w:tcPr>
          <w:p>
            <w:pPr>
              <w:spacing w:after="40" w:line="252"/>
            </w:pPr>
            <w:r>
              <w:rPr>
                <w:rFonts w:ascii="Arial" w:cs="Arial" w:eastAsia="Arial" w:hAnsi="Arial"/>
                <w:color w:val="1A1A1A"/>
                <w:sz w:val="18"/>
                <w:szCs w:val="18"/>
              </w:rPr>
              <w:t xml:space="preserve">Build the dashboard in the standard BI tool (Power BI): KPI tiles, trend vs target, attention list, driver drill-down, limitations panel.</w:t>
            </w:r>
          </w:p>
          <w:p>
            <w:pPr>
              <w:spacing w:after="40" w:line="252"/>
            </w:pPr>
            <w:r>
              <w:rPr>
                <w:rFonts w:ascii="Arial" w:cs="Arial" w:eastAsia="Arial" w:hAnsi="Arial"/>
                <w:color w:val="1A1A1A"/>
                <w:sz w:val="18"/>
                <w:szCs w:val="18"/>
              </w:rPr>
              <w:t xml:space="preserve">Row-level security if team or agent views are added.</w:t>
            </w:r>
          </w:p>
          <w:p>
            <w:pPr>
              <w:spacing w:after="40" w:line="252"/>
            </w:pPr>
            <w:r>
              <w:rPr>
                <w:rFonts w:ascii="Arial" w:cs="Arial" w:eastAsia="Arial" w:hAnsi="Arial"/>
                <w:color w:val="1A1A1A"/>
                <w:sz w:val="18"/>
                <w:szCs w:val="18"/>
              </w:rPr>
              <w:t xml:space="preserve">Productionize the KPI pack and weekly hot-spot alerts.</w:t>
            </w:r>
          </w:p>
        </w:tc>
        <w:tc>
          <w:tcPr>
            <w:tcW w:type="dxa" w:w="2200"/>
            <w:tcMar>
              <w:top w:type="dxa" w:w="70"/>
              <w:left w:type="dxa" w:w="100"/>
              <w:bottom w:type="dxa" w:w="70"/>
              <w:right w:type="dxa" w:w="100"/>
            </w:tcMar>
          </w:tcPr>
          <w:p>
            <w:pPr>
              <w:spacing w:after="40" w:line="252"/>
            </w:pPr>
            <w:r>
              <w:rPr>
                <w:rFonts w:ascii="Arial" w:cs="Arial" w:eastAsia="Arial" w:hAnsi="Arial"/>
                <w:color w:val="1A1A1A"/>
                <w:sz w:val="18"/>
                <w:szCs w:val="18"/>
              </w:rPr>
              <w:t xml:space="preserve">Dashboard and pack in a test workspace; peer-reviewed SQL/DAX</w:t>
            </w:r>
          </w:p>
        </w:tc>
        <w:tc>
          <w:tcPr>
            <w:tcW w:type="dxa" w:w="1600"/>
            <w:tcMar>
              <w:top w:type="dxa" w:w="70"/>
              <w:left w:type="dxa" w:w="100"/>
              <w:bottom w:type="dxa" w:w="70"/>
              <w:right w:type="dxa" w:w="100"/>
            </w:tcMar>
          </w:tcPr>
          <w:p>
            <w:pPr>
              <w:spacing w:after="40" w:line="252"/>
            </w:pPr>
            <w:r>
              <w:rPr>
                <w:rFonts w:ascii="Arial" w:cs="Arial" w:eastAsia="Arial" w:hAnsi="Arial"/>
                <w:color w:val="1A1A1A"/>
                <w:sz w:val="18"/>
                <w:szCs w:val="18"/>
              </w:rPr>
              <w:t xml:space="preserve">BI Analyst; BI peer reviewer</w:t>
            </w:r>
          </w:p>
        </w:tc>
      </w:tr>
      <w:tr>
        <w:trPr>
          <w:cantSplit/>
        </w:trPr>
        <w:tc>
          <w:tcPr>
            <w:tcW w:type="dxa" w:w="1900"/>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5. UAT</w:t>
            </w:r>
            <w:r>
              <w:rPr>
                <w:rFonts w:ascii="Arial" w:cs="Arial" w:eastAsia="Arial" w:hAnsi="Arial"/>
                <w:color w:val="1A1A1A"/>
                <w:sz w:val="18"/>
                <w:szCs w:val="18"/>
              </w:rPr>
              <w:t xml:space="preserve"> (wk 7–8)</w:t>
            </w:r>
          </w:p>
        </w:tc>
        <w:tc>
          <w:tcPr>
            <w:tcW w:type="dxa" w:w="3660"/>
            <w:tcMar>
              <w:top w:type="dxa" w:w="70"/>
              <w:left w:type="dxa" w:w="100"/>
              <w:bottom w:type="dxa" w:w="70"/>
              <w:right w:type="dxa" w:w="100"/>
            </w:tcMar>
          </w:tcPr>
          <w:p>
            <w:pPr>
              <w:spacing w:after="40" w:line="252"/>
            </w:pPr>
            <w:r>
              <w:rPr>
                <w:rFonts w:ascii="Arial" w:cs="Arial" w:eastAsia="Arial" w:hAnsi="Arial"/>
                <w:color w:val="1A1A1A"/>
                <w:sz w:val="18"/>
                <w:szCs w:val="18"/>
              </w:rPr>
              <w:t xml:space="preserve">Scripted tests: numbers match the certified extract; drill paths work; filters cross-check.</w:t>
            </w:r>
          </w:p>
          <w:p>
            <w:pPr>
              <w:spacing w:after="40" w:line="252"/>
            </w:pPr>
            <w:r>
              <w:rPr>
                <w:rFonts w:ascii="Arial" w:cs="Arial" w:eastAsia="Arial" w:hAnsi="Arial"/>
                <w:color w:val="1A1A1A"/>
                <w:sz w:val="18"/>
                <w:szCs w:val="18"/>
              </w:rPr>
              <w:t xml:space="preserve">Executive walkthrough: can a leader answer "what needs attention, and why?" in under 2 minutes?</w:t>
            </w:r>
          </w:p>
          <w:p>
            <w:pPr>
              <w:spacing w:after="40" w:line="252"/>
            </w:pPr>
            <w:r>
              <w:rPr>
                <w:rFonts w:ascii="Arial" w:cs="Arial" w:eastAsia="Arial" w:hAnsi="Arial"/>
                <w:color w:val="1A1A1A"/>
                <w:sz w:val="18"/>
                <w:szCs w:val="18"/>
              </w:rPr>
              <w:t xml:space="preserve">Log and fix defects; regression retest.</w:t>
            </w:r>
          </w:p>
        </w:tc>
        <w:tc>
          <w:tcPr>
            <w:tcW w:type="dxa" w:w="2200"/>
            <w:tcMar>
              <w:top w:type="dxa" w:w="70"/>
              <w:left w:type="dxa" w:w="100"/>
              <w:bottom w:type="dxa" w:w="70"/>
              <w:right w:type="dxa" w:w="100"/>
            </w:tcMar>
          </w:tcPr>
          <w:p>
            <w:pPr>
              <w:spacing w:after="40" w:line="252"/>
            </w:pPr>
            <w:r>
              <w:rPr>
                <w:rFonts w:ascii="Arial" w:cs="Arial" w:eastAsia="Arial" w:hAnsi="Arial"/>
                <w:color w:val="1A1A1A"/>
                <w:sz w:val="18"/>
                <w:szCs w:val="18"/>
              </w:rPr>
              <w:t xml:space="preserve">UAT sign-off by sponsor and 2 Ops managers; zero open severity-1 defects</w:t>
            </w:r>
          </w:p>
        </w:tc>
        <w:tc>
          <w:tcPr>
            <w:tcW w:type="dxa" w:w="1600"/>
            <w:tcMar>
              <w:top w:type="dxa" w:w="70"/>
              <w:left w:type="dxa" w:w="100"/>
              <w:bottom w:type="dxa" w:w="70"/>
              <w:right w:type="dxa" w:w="100"/>
            </w:tcMar>
          </w:tcPr>
          <w:p>
            <w:pPr>
              <w:spacing w:after="40" w:line="252"/>
            </w:pPr>
            <w:r>
              <w:rPr>
                <w:rFonts w:ascii="Arial" w:cs="Arial" w:eastAsia="Arial" w:hAnsi="Arial"/>
                <w:color w:val="1A1A1A"/>
                <w:sz w:val="18"/>
                <w:szCs w:val="18"/>
              </w:rPr>
              <w:t xml:space="preserve">Business testers; BI fixes</w:t>
            </w:r>
          </w:p>
        </w:tc>
      </w:tr>
      <w:tr>
        <w:trPr>
          <w:cantSplit/>
        </w:trPr>
        <w:tc>
          <w:tcPr>
            <w:tcW w:type="dxa" w:w="1900"/>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6. Launch</w:t>
            </w:r>
            <w:r>
              <w:rPr>
                <w:rFonts w:ascii="Arial" w:cs="Arial" w:eastAsia="Arial" w:hAnsi="Arial"/>
                <w:color w:val="1A1A1A"/>
                <w:sz w:val="18"/>
                <w:szCs w:val="18"/>
              </w:rPr>
              <w:t xml:space="preserve"> (wk 9)</w:t>
            </w:r>
          </w:p>
        </w:tc>
        <w:tc>
          <w:tcPr>
            <w:tcW w:type="dxa" w:w="3660"/>
            <w:tcMar>
              <w:top w:type="dxa" w:w="70"/>
              <w:left w:type="dxa" w:w="100"/>
              <w:bottom w:type="dxa" w:w="70"/>
              <w:right w:type="dxa" w:w="100"/>
            </w:tcMar>
          </w:tcPr>
          <w:p>
            <w:pPr>
              <w:spacing w:after="40" w:line="252"/>
            </w:pPr>
            <w:r>
              <w:rPr>
                <w:rFonts w:ascii="Arial" w:cs="Arial" w:eastAsia="Arial" w:hAnsi="Arial"/>
                <w:color w:val="1A1A1A"/>
                <w:sz w:val="18"/>
                <w:szCs w:val="18"/>
              </w:rPr>
              <w:t xml:space="preserve">Publish to production workspace; schedule refresh.</w:t>
            </w:r>
          </w:p>
          <w:p>
            <w:pPr>
              <w:spacing w:after="40" w:line="252"/>
            </w:pPr>
            <w:r>
              <w:rPr>
                <w:rFonts w:ascii="Arial" w:cs="Arial" w:eastAsia="Arial" w:hAnsi="Arial"/>
                <w:color w:val="1A1A1A"/>
                <w:sz w:val="18"/>
                <w:szCs w:val="18"/>
              </w:rPr>
              <w:t xml:space="preserve">Present the first live pack at the monthly leadership meeting.</w:t>
            </w:r>
          </w:p>
          <w:p>
            <w:pPr>
              <w:spacing w:after="40" w:line="252"/>
            </w:pPr>
            <w:r>
              <w:rPr>
                <w:rFonts w:ascii="Arial" w:cs="Arial" w:eastAsia="Arial" w:hAnsi="Arial"/>
                <w:color w:val="1A1A1A"/>
                <w:sz w:val="18"/>
                <w:szCs w:val="18"/>
              </w:rPr>
              <w:t xml:space="preserve">Hypercare: daily checks for 2 weeks.</w:t>
            </w:r>
          </w:p>
        </w:tc>
        <w:tc>
          <w:tcPr>
            <w:tcW w:type="dxa" w:w="2200"/>
            <w:tcMar>
              <w:top w:type="dxa" w:w="70"/>
              <w:left w:type="dxa" w:w="100"/>
              <w:bottom w:type="dxa" w:w="70"/>
              <w:right w:type="dxa" w:w="100"/>
            </w:tcMar>
          </w:tcPr>
          <w:p>
            <w:pPr>
              <w:spacing w:after="40" w:line="252"/>
            </w:pPr>
            <w:r>
              <w:rPr>
                <w:rFonts w:ascii="Arial" w:cs="Arial" w:eastAsia="Arial" w:hAnsi="Arial"/>
                <w:color w:val="1A1A1A"/>
                <w:sz w:val="18"/>
                <w:szCs w:val="18"/>
              </w:rPr>
              <w:t xml:space="preserve">First production cycle delivered on time</w:t>
            </w:r>
          </w:p>
        </w:tc>
        <w:tc>
          <w:tcPr>
            <w:tcW w:type="dxa" w:w="1600"/>
            <w:tcMar>
              <w:top w:type="dxa" w:w="70"/>
              <w:left w:type="dxa" w:w="100"/>
              <w:bottom w:type="dxa" w:w="70"/>
              <w:right w:type="dxa" w:w="100"/>
            </w:tcMar>
          </w:tcPr>
          <w:p>
            <w:pPr>
              <w:spacing w:after="40" w:line="252"/>
            </w:pPr>
            <w:r>
              <w:rPr>
                <w:rFonts w:ascii="Arial" w:cs="Arial" w:eastAsia="Arial" w:hAnsi="Arial"/>
                <w:color w:val="1A1A1A"/>
                <w:sz w:val="18"/>
                <w:szCs w:val="18"/>
              </w:rPr>
              <w:t xml:space="preserve">BI Analyst; VP Member Service</w:t>
            </w:r>
          </w:p>
        </w:tc>
      </w:tr>
      <w:tr>
        <w:trPr>
          <w:cantSplit/>
        </w:trPr>
        <w:tc>
          <w:tcPr>
            <w:tcW w:type="dxa" w:w="1900"/>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7. Documentation &amp; training</w:t>
            </w:r>
            <w:r>
              <w:rPr>
                <w:rFonts w:ascii="Arial" w:cs="Arial" w:eastAsia="Arial" w:hAnsi="Arial"/>
                <w:color w:val="1A1A1A"/>
                <w:sz w:val="18"/>
                <w:szCs w:val="18"/>
              </w:rPr>
              <w:t xml:space="preserve"> (wk 8–10)</w:t>
            </w:r>
          </w:p>
        </w:tc>
        <w:tc>
          <w:tcPr>
            <w:tcW w:type="dxa" w:w="3660"/>
            <w:tcMar>
              <w:top w:type="dxa" w:w="70"/>
              <w:left w:type="dxa" w:w="100"/>
              <w:bottom w:type="dxa" w:w="70"/>
              <w:right w:type="dxa" w:w="100"/>
            </w:tcMar>
          </w:tcPr>
          <w:p>
            <w:pPr>
              <w:spacing w:after="40" w:line="252"/>
            </w:pPr>
            <w:r>
              <w:rPr>
                <w:rFonts w:ascii="Arial" w:cs="Arial" w:eastAsia="Arial" w:hAnsi="Arial"/>
                <w:color w:val="1A1A1A"/>
                <w:sz w:val="18"/>
                <w:szCs w:val="18"/>
              </w:rPr>
              <w:t xml:space="preserve">One-page user guide; KPI dictionary inside the dashboard; 30-minute training for leaders and Ops.</w:t>
            </w:r>
          </w:p>
          <w:p>
            <w:pPr>
              <w:spacing w:after="40" w:line="252"/>
            </w:pPr>
            <w:r>
              <w:rPr>
                <w:rFonts w:ascii="Arial" w:cs="Arial" w:eastAsia="Arial" w:hAnsi="Arial"/>
                <w:color w:val="1A1A1A"/>
                <w:sz w:val="18"/>
                <w:szCs w:val="18"/>
              </w:rPr>
              <w:t xml:space="preserve">Runbook: refresh steps, controls, failure handling, contacts.</w:t>
            </w:r>
          </w:p>
        </w:tc>
        <w:tc>
          <w:tcPr>
            <w:tcW w:type="dxa" w:w="2200"/>
            <w:tcMar>
              <w:top w:type="dxa" w:w="70"/>
              <w:left w:type="dxa" w:w="100"/>
              <w:bottom w:type="dxa" w:w="70"/>
              <w:right w:type="dxa" w:w="100"/>
            </w:tcMar>
          </w:tcPr>
          <w:p>
            <w:pPr>
              <w:spacing w:after="40" w:line="252"/>
            </w:pPr>
            <w:r>
              <w:rPr>
                <w:rFonts w:ascii="Arial" w:cs="Arial" w:eastAsia="Arial" w:hAnsi="Arial"/>
                <w:color w:val="1A1A1A"/>
                <w:sz w:val="18"/>
                <w:szCs w:val="18"/>
              </w:rPr>
              <w:t xml:space="preserve">Guide, runbook and recorded training published</w:t>
            </w:r>
          </w:p>
        </w:tc>
        <w:tc>
          <w:tcPr>
            <w:tcW w:type="dxa" w:w="1600"/>
            <w:tcMar>
              <w:top w:type="dxa" w:w="70"/>
              <w:left w:type="dxa" w:w="100"/>
              <w:bottom w:type="dxa" w:w="70"/>
              <w:right w:type="dxa" w:w="100"/>
            </w:tcMar>
          </w:tcPr>
          <w:p>
            <w:pPr>
              <w:spacing w:after="40" w:line="252"/>
            </w:pPr>
            <w:r>
              <w:rPr>
                <w:rFonts w:ascii="Arial" w:cs="Arial" w:eastAsia="Arial" w:hAnsi="Arial"/>
                <w:color w:val="1A1A1A"/>
                <w:sz w:val="18"/>
                <w:szCs w:val="18"/>
              </w:rPr>
              <w:t xml:space="preserve">BI Analyst</w:t>
            </w:r>
          </w:p>
        </w:tc>
      </w:tr>
      <w:tr>
        <w:trPr>
          <w:cantSplit/>
        </w:trPr>
        <w:tc>
          <w:tcPr>
            <w:tcW w:type="dxa" w:w="1900"/>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8. Refresh process</w:t>
            </w:r>
            <w:r>
              <w:rPr>
                <w:rFonts w:ascii="Arial" w:cs="Arial" w:eastAsia="Arial" w:hAnsi="Arial"/>
                <w:color w:val="1A1A1A"/>
                <w:sz w:val="18"/>
                <w:szCs w:val="18"/>
              </w:rPr>
              <w:t xml:space="preserve"> (ongoing)</w:t>
            </w:r>
          </w:p>
        </w:tc>
        <w:tc>
          <w:tcPr>
            <w:tcW w:type="dxa" w:w="3660"/>
            <w:tcMar>
              <w:top w:type="dxa" w:w="70"/>
              <w:left w:type="dxa" w:w="100"/>
              <w:bottom w:type="dxa" w:w="70"/>
              <w:right w:type="dxa" w:w="100"/>
            </w:tcMar>
          </w:tcPr>
          <w:p>
            <w:pPr>
              <w:spacing w:after="40" w:line="252"/>
            </w:pPr>
            <w:r>
              <w:rPr>
                <w:rFonts w:ascii="Arial" w:cs="Arial" w:eastAsia="Arial" w:hAnsi="Arial"/>
                <w:color w:val="1A1A1A"/>
                <w:sz w:val="18"/>
                <w:szCs w:val="18"/>
              </w:rPr>
              <w:t xml:space="preserve">Monthly: data lands by business day 2 → controls run automatically → pack published by business day 3.</w:t>
            </w:r>
          </w:p>
          <w:p>
            <w:pPr>
              <w:spacing w:after="40" w:line="252"/>
            </w:pPr>
            <w:r>
              <w:rPr>
                <w:rFonts w:ascii="Arial" w:cs="Arial" w:eastAsia="Arial" w:hAnsi="Arial"/>
                <w:color w:val="1A1A1A"/>
                <w:sz w:val="18"/>
                <w:szCs w:val="18"/>
              </w:rPr>
              <w:t xml:space="preserve">Weekly: hot-spot alert run.</w:t>
            </w:r>
          </w:p>
          <w:p>
            <w:pPr>
              <w:spacing w:after="40" w:line="252"/>
            </w:pPr>
            <w:r>
              <w:rPr>
                <w:rFonts w:ascii="Arial" w:cs="Arial" w:eastAsia="Arial" w:hAnsi="Arial"/>
                <w:color w:val="1A1A1A"/>
                <w:sz w:val="18"/>
                <w:szCs w:val="18"/>
              </w:rPr>
              <w:t xml:space="preserve">Any FAIL control stops publication and notifies the data owner.</w:t>
            </w:r>
          </w:p>
        </w:tc>
        <w:tc>
          <w:tcPr>
            <w:tcW w:type="dxa" w:w="2200"/>
            <w:tcMar>
              <w:top w:type="dxa" w:w="70"/>
              <w:left w:type="dxa" w:w="100"/>
              <w:bottom w:type="dxa" w:w="70"/>
              <w:right w:type="dxa" w:w="100"/>
            </w:tcMar>
          </w:tcPr>
          <w:p>
            <w:pPr>
              <w:spacing w:after="40" w:line="252"/>
            </w:pPr>
            <w:r>
              <w:rPr>
                <w:rFonts w:ascii="Arial" w:cs="Arial" w:eastAsia="Arial" w:hAnsi="Arial"/>
                <w:color w:val="1A1A1A"/>
                <w:sz w:val="18"/>
                <w:szCs w:val="18"/>
              </w:rPr>
              <w:t xml:space="preserve">Monthly SLA met (published by business day 3, ≥ 95% of months)</w:t>
            </w:r>
          </w:p>
        </w:tc>
        <w:tc>
          <w:tcPr>
            <w:tcW w:type="dxa" w:w="1600"/>
            <w:tcMar>
              <w:top w:type="dxa" w:w="70"/>
              <w:left w:type="dxa" w:w="100"/>
              <w:bottom w:type="dxa" w:w="70"/>
              <w:right w:type="dxa" w:w="100"/>
            </w:tcMar>
          </w:tcPr>
          <w:p>
            <w:pPr>
              <w:spacing w:after="40" w:line="252"/>
            </w:pPr>
            <w:r>
              <w:rPr>
                <w:rFonts w:ascii="Arial" w:cs="Arial" w:eastAsia="Arial" w:hAnsi="Arial"/>
                <w:color w:val="1A1A1A"/>
                <w:sz w:val="18"/>
                <w:szCs w:val="18"/>
              </w:rPr>
              <w:t xml:space="preserve">BI (run), Data owner (fix)</w:t>
            </w:r>
          </w:p>
        </w:tc>
      </w:tr>
      <w:tr>
        <w:trPr>
          <w:cantSplit/>
        </w:trPr>
        <w:tc>
          <w:tcPr>
            <w:tcW w:type="dxa" w:w="1900"/>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9. Ongoing ownership</w:t>
            </w:r>
            <w:r>
              <w:rPr>
                <w:rFonts w:ascii="Arial" w:cs="Arial" w:eastAsia="Arial" w:hAnsi="Arial"/>
                <w:color w:val="1A1A1A"/>
                <w:sz w:val="18"/>
                <w:szCs w:val="18"/>
              </w:rPr>
              <w:t xml:space="preserve"> (ongoing)</w:t>
            </w:r>
          </w:p>
        </w:tc>
        <w:tc>
          <w:tcPr>
            <w:tcW w:type="dxa" w:w="3660"/>
            <w:tcMar>
              <w:top w:type="dxa" w:w="70"/>
              <w:left w:type="dxa" w:w="100"/>
              <w:bottom w:type="dxa" w:w="70"/>
              <w:right w:type="dxa" w:w="100"/>
            </w:tcMar>
          </w:tcPr>
          <w:p>
            <w:pPr>
              <w:spacing w:after="40" w:line="252"/>
            </w:pPr>
            <w:r>
              <w:rPr>
                <w:rFonts w:ascii="Arial" w:cs="Arial" w:eastAsia="Arial" w:hAnsi="Arial"/>
                <w:color w:val="1A1A1A"/>
                <w:sz w:val="18"/>
                <w:szCs w:val="18"/>
              </w:rPr>
              <w:t xml:space="preserve">Product owner: BI Analyst. Business owner: VP Member Service. Each KPI has a named owner.</w:t>
            </w:r>
          </w:p>
          <w:p>
            <w:pPr>
              <w:spacing w:after="40" w:line="252"/>
            </w:pPr>
            <w:r>
              <w:rPr>
                <w:rFonts w:ascii="Arial" w:cs="Arial" w:eastAsia="Arial" w:hAnsi="Arial"/>
                <w:color w:val="1A1A1A"/>
                <w:sz w:val="18"/>
                <w:szCs w:val="18"/>
              </w:rPr>
              <w:t xml:space="preserve">Quarterly review: retire unused visuals, recheck targets and thresholds, check usage.</w:t>
            </w:r>
          </w:p>
          <w:p>
            <w:pPr>
              <w:spacing w:after="40" w:line="252"/>
            </w:pPr>
            <w:r>
              <w:rPr>
                <w:rFonts w:ascii="Arial" w:cs="Arial" w:eastAsia="Arial" w:hAnsi="Arial"/>
                <w:color w:val="1A1A1A"/>
                <w:sz w:val="18"/>
                <w:szCs w:val="18"/>
              </w:rPr>
              <w:t xml:space="preserve">Change requests through a simple intake and prioritization log.</w:t>
            </w:r>
          </w:p>
        </w:tc>
        <w:tc>
          <w:tcPr>
            <w:tcW w:type="dxa" w:w="2200"/>
            <w:tcMar>
              <w:top w:type="dxa" w:w="70"/>
              <w:left w:type="dxa" w:w="100"/>
              <w:bottom w:type="dxa" w:w="70"/>
              <w:right w:type="dxa" w:w="100"/>
            </w:tcMar>
          </w:tcPr>
          <w:p>
            <w:pPr>
              <w:spacing w:after="40" w:line="252"/>
            </w:pPr>
            <w:r>
              <w:rPr>
                <w:rFonts w:ascii="Arial" w:cs="Arial" w:eastAsia="Arial" w:hAnsi="Arial"/>
                <w:color w:val="1A1A1A"/>
                <w:sz w:val="18"/>
                <w:szCs w:val="18"/>
              </w:rPr>
              <w:t xml:space="preserve">Quarterly review held; usage and data-quality metrics reported</w:t>
            </w:r>
          </w:p>
        </w:tc>
        <w:tc>
          <w:tcPr>
            <w:tcW w:type="dxa" w:w="1600"/>
            <w:tcMar>
              <w:top w:type="dxa" w:w="70"/>
              <w:left w:type="dxa" w:w="100"/>
              <w:bottom w:type="dxa" w:w="70"/>
              <w:right w:type="dxa" w:w="100"/>
            </w:tcMar>
          </w:tcPr>
          <w:p>
            <w:pPr>
              <w:spacing w:after="40" w:line="252"/>
            </w:pPr>
            <w:r>
              <w:rPr>
                <w:rFonts w:ascii="Arial" w:cs="Arial" w:eastAsia="Arial" w:hAnsi="Arial"/>
                <w:color w:val="1A1A1A"/>
                <w:sz w:val="18"/>
                <w:szCs w:val="18"/>
              </w:rPr>
              <w:t xml:space="preserve">BI Manager; VP Member Service</w:t>
            </w:r>
          </w:p>
        </w:tc>
      </w:tr>
    </w:tbl>
    <w:p>
      <w:pPr>
        <w:pStyle w:val="Heading1"/>
        <w:pBdr>
          <w:bottom w:val="single" w:color="D6D4CD" w:sz="6" w:space="4"/>
        </w:pBdr>
        <w:spacing w:after="120" w:before="280"/>
      </w:pPr>
      <w:r>
        <w:rPr>
          <w:rFonts w:ascii="Arial" w:cs="Arial" w:eastAsia="Arial" w:hAnsi="Arial"/>
          <w:b/>
          <w:bCs/>
          <w:color w:val="1A1A1A"/>
          <w:sz w:val="28"/>
          <w:szCs w:val="28"/>
        </w:rPr>
        <w:t xml:space="preserve">PM-2 · Dependencies, risks, decisions, controls and communication</w:t>
      </w:r>
    </w:p>
    <w:p>
      <w:pPr>
        <w:pStyle w:val="Heading2"/>
        <w:spacing w:after="80" w:before="200"/>
      </w:pPr>
      <w:r>
        <w:rPr>
          <w:rFonts w:ascii="Arial" w:cs="Arial" w:eastAsia="Arial" w:hAnsi="Arial"/>
          <w:b/>
          <w:bCs/>
          <w:color w:val="1A1A1A"/>
          <w:sz w:val="23"/>
          <w:szCs w:val="23"/>
        </w:rPr>
        <w:t xml:space="preserve">Major dependencies</w:t>
      </w:r>
    </w:p>
    <w:p>
      <w:pPr>
        <w:pStyle w:val="ListParagraph"/>
        <w:numPr>
          <w:ilvl w:val="0"/>
          <w:numId w:val="2"/>
        </w:numPr>
        <w:spacing w:after="60" w:line="264"/>
      </w:pPr>
      <w:r>
        <w:rPr>
          <w:rFonts w:ascii="Arial" w:cs="Arial" w:eastAsia="Arial" w:hAnsi="Arial"/>
          <w:b/>
          <w:bCs/>
          <w:color w:val="1A1A1A"/>
          <w:sz w:val="20"/>
          <w:szCs w:val="20"/>
        </w:rPr>
        <w:t xml:space="preserve">Data access:</w:t>
      </w:r>
      <w:r>
        <w:rPr>
          <w:rFonts w:ascii="Arial" w:cs="Arial" w:eastAsia="Arial" w:hAnsi="Arial"/>
          <w:color w:val="1A1A1A"/>
          <w:sz w:val="20"/>
          <w:szCs w:val="20"/>
        </w:rPr>
        <w:t xml:space="preserve"> a scheduled, governed extract of interactions and members (today a manual file); WFM and survey data for the next phase.</w:t>
      </w:r>
    </w:p>
    <w:p>
      <w:pPr>
        <w:pStyle w:val="ListParagraph"/>
        <w:numPr>
          <w:ilvl w:val="0"/>
          <w:numId w:val="2"/>
        </w:numPr>
        <w:spacing w:after="60" w:line="264"/>
      </w:pPr>
      <w:r>
        <w:rPr>
          <w:rFonts w:ascii="Arial" w:cs="Arial" w:eastAsia="Arial" w:hAnsi="Arial"/>
          <w:b/>
          <w:bCs/>
          <w:color w:val="1A1A1A"/>
          <w:sz w:val="20"/>
          <w:szCs w:val="20"/>
        </w:rPr>
        <w:t xml:space="preserve">Decisions on targets:</w:t>
      </w:r>
      <w:r>
        <w:rPr>
          <w:rFonts w:ascii="Arial" w:cs="Arial" w:eastAsia="Arial" w:hAnsi="Arial"/>
          <w:color w:val="1A1A1A"/>
          <w:sz w:val="20"/>
          <w:szCs w:val="20"/>
        </w:rPr>
        <w:t xml:space="preserve"> the 90s service level, abandonment and repeat targets need sign-off before build (phase 2).</w:t>
      </w:r>
    </w:p>
    <w:p>
      <w:pPr>
        <w:pStyle w:val="ListParagraph"/>
        <w:numPr>
          <w:ilvl w:val="0"/>
          <w:numId w:val="2"/>
        </w:numPr>
        <w:spacing w:after="60" w:line="264"/>
      </w:pPr>
      <w:r>
        <w:rPr>
          <w:rFonts w:ascii="Arial" w:cs="Arial" w:eastAsia="Arial" w:hAnsi="Arial"/>
          <w:b/>
          <w:bCs/>
          <w:color w:val="1A1A1A"/>
          <w:sz w:val="20"/>
          <w:szCs w:val="20"/>
        </w:rPr>
        <w:t xml:space="preserve">BI platform:</w:t>
      </w:r>
      <w:r>
        <w:rPr>
          <w:rFonts w:ascii="Arial" w:cs="Arial" w:eastAsia="Arial" w:hAnsi="Arial"/>
          <w:color w:val="1A1A1A"/>
          <w:sz w:val="20"/>
          <w:szCs w:val="20"/>
        </w:rPr>
        <w:t xml:space="preserve"> a Power BI workspace, gateway and refresh schedule; security group for leaders.</w:t>
      </w:r>
    </w:p>
    <w:p>
      <w:pPr>
        <w:pStyle w:val="ListParagraph"/>
        <w:numPr>
          <w:ilvl w:val="0"/>
          <w:numId w:val="2"/>
        </w:numPr>
        <w:spacing w:after="60" w:line="264"/>
      </w:pPr>
      <w:r>
        <w:rPr>
          <w:rFonts w:ascii="Arial" w:cs="Arial" w:eastAsia="Arial" w:hAnsi="Arial"/>
          <w:b/>
          <w:bCs/>
          <w:color w:val="1A1A1A"/>
          <w:sz w:val="20"/>
          <w:szCs w:val="20"/>
        </w:rPr>
        <w:t xml:space="preserve">People:</w:t>
      </w:r>
      <w:r>
        <w:rPr>
          <w:rFonts w:ascii="Arial" w:cs="Arial" w:eastAsia="Arial" w:hAnsi="Arial"/>
          <w:color w:val="1A1A1A"/>
          <w:sz w:val="20"/>
          <w:szCs w:val="20"/>
        </w:rPr>
        <w:t xml:space="preserve"> time from Ops managers and QA for UAT and the outcome-code audit; a data engineer for pipeline hardening.</w:t>
      </w:r>
    </w:p>
    <w:p>
      <w:pPr>
        <w:pStyle w:val="Heading2"/>
        <w:spacing w:after="80" w:before="200"/>
      </w:pPr>
      <w:r>
        <w:rPr>
          <w:rFonts w:ascii="Arial" w:cs="Arial" w:eastAsia="Arial" w:hAnsi="Arial"/>
          <w:b/>
          <w:bCs/>
          <w:color w:val="1A1A1A"/>
          <w:sz w:val="23"/>
          <w:szCs w:val="23"/>
        </w:rPr>
        <w:t xml:space="preserve">Project risks</w:t>
      </w:r>
    </w:p>
    <w:tbl>
      <w:tblPr>
        <w:tblW w:type="dxa" w:w="9360"/>
        <w:tblBorders>
          <w:top w:val="single" w:color="D6D4CD" w:sz="4"/>
          <w:left w:val="single" w:color="D6D4CD" w:sz="4"/>
          <w:bottom w:val="single" w:color="D6D4CD" w:sz="4"/>
          <w:right w:val="single" w:color="D6D4CD" w:sz="4"/>
          <w:insideH w:val="single" w:color="D6D4CD" w:sz="4"/>
          <w:insideV w:val="single" w:color="D6D4CD" w:sz="4"/>
        </w:tblBorders>
      </w:tblPr>
      <w:tblGrid>
        <w:gridCol w:w="2700"/>
        <w:gridCol w:w="1400"/>
        <w:gridCol w:w="3660"/>
        <w:gridCol w:w="1600"/>
      </w:tblGrid>
      <w:tr>
        <w:trPr>
          <w:tblHeader/>
        </w:trPr>
        <w:tc>
          <w:tcPr>
            <w:tcW w:type="dxa" w:w="2700"/>
            <w:shd w:fill="EFEEE9"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Risk</w:t>
            </w:r>
          </w:p>
        </w:tc>
        <w:tc>
          <w:tcPr>
            <w:tcW w:type="dxa" w:w="1400"/>
            <w:shd w:fill="EFEEE9"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Likelihood / impact</w:t>
            </w:r>
          </w:p>
        </w:tc>
        <w:tc>
          <w:tcPr>
            <w:tcW w:type="dxa" w:w="3660"/>
            <w:shd w:fill="EFEEE9"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Mitigation</w:t>
            </w:r>
          </w:p>
        </w:tc>
        <w:tc>
          <w:tcPr>
            <w:tcW w:type="dxa" w:w="1600"/>
            <w:shd w:fill="EFEEE9"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Owner</w:t>
            </w:r>
          </w:p>
        </w:tc>
      </w:tr>
      <w:tr>
        <w:trPr>
          <w:cantSplit/>
        </w:trPr>
        <w:tc>
          <w:tcPr>
            <w:tcW w:type="dxa" w:w="2700"/>
            <w:tcMar>
              <w:top w:type="dxa" w:w="70"/>
              <w:left w:type="dxa" w:w="100"/>
              <w:bottom w:type="dxa" w:w="70"/>
              <w:right w:type="dxa" w:w="100"/>
            </w:tcMar>
          </w:tcPr>
          <w:p>
            <w:pPr>
              <w:spacing w:after="40" w:line="252"/>
            </w:pPr>
            <w:r>
              <w:rPr>
                <w:rFonts w:ascii="Arial" w:cs="Arial" w:eastAsia="Arial" w:hAnsi="Arial"/>
                <w:color w:val="1A1A1A"/>
                <w:sz w:val="18"/>
                <w:szCs w:val="18"/>
              </w:rPr>
              <w:t xml:space="preserve">Metric definitions disputed late (e.g. what counts as "resolved")</w:t>
            </w:r>
          </w:p>
        </w:tc>
        <w:tc>
          <w:tcPr>
            <w:tcW w:type="dxa" w:w="1400"/>
            <w:tcMar>
              <w:top w:type="dxa" w:w="70"/>
              <w:left w:type="dxa" w:w="100"/>
              <w:bottom w:type="dxa" w:w="70"/>
              <w:right w:type="dxa" w:w="100"/>
            </w:tcMar>
          </w:tcPr>
          <w:p>
            <w:pPr>
              <w:spacing w:after="40" w:line="252"/>
            </w:pPr>
            <w:r>
              <w:rPr>
                <w:rFonts w:ascii="Arial" w:cs="Arial" w:eastAsia="Arial" w:hAnsi="Arial"/>
                <w:color w:val="1A1A1A"/>
                <w:sz w:val="18"/>
                <w:szCs w:val="18"/>
              </w:rPr>
              <w:t xml:space="preserve">Medium / High</w:t>
            </w:r>
          </w:p>
        </w:tc>
        <w:tc>
          <w:tcPr>
            <w:tcW w:type="dxa" w:w="3660"/>
            <w:tcMar>
              <w:top w:type="dxa" w:w="70"/>
              <w:left w:type="dxa" w:w="100"/>
              <w:bottom w:type="dxa" w:w="70"/>
              <w:right w:type="dxa" w:w="100"/>
            </w:tcMar>
          </w:tcPr>
          <w:p>
            <w:pPr>
              <w:spacing w:after="40" w:line="252"/>
            </w:pPr>
            <w:r>
              <w:rPr>
                <w:rFonts w:ascii="Arial" w:cs="Arial" w:eastAsia="Arial" w:hAnsi="Arial"/>
                <w:color w:val="1A1A1A"/>
                <w:sz w:val="18"/>
                <w:szCs w:val="18"/>
              </w:rPr>
              <w:t xml:space="preserve">Lock the dictionary in phase 2 with sponsor sign-off; changes go through the change log</w:t>
            </w:r>
          </w:p>
        </w:tc>
        <w:tc>
          <w:tcPr>
            <w:tcW w:type="dxa" w:w="1600"/>
            <w:tcMar>
              <w:top w:type="dxa" w:w="70"/>
              <w:left w:type="dxa" w:w="100"/>
              <w:bottom w:type="dxa" w:w="70"/>
              <w:right w:type="dxa" w:w="100"/>
            </w:tcMar>
          </w:tcPr>
          <w:p>
            <w:pPr>
              <w:spacing w:after="40" w:line="252"/>
            </w:pPr>
            <w:r>
              <w:rPr>
                <w:rFonts w:ascii="Arial" w:cs="Arial" w:eastAsia="Arial" w:hAnsi="Arial"/>
                <w:color w:val="1A1A1A"/>
                <w:sz w:val="18"/>
                <w:szCs w:val="18"/>
              </w:rPr>
              <w:t xml:space="preserve">BI Analyst</w:t>
            </w:r>
          </w:p>
        </w:tc>
      </w:tr>
      <w:tr>
        <w:trPr>
          <w:cantSplit/>
        </w:trPr>
        <w:tc>
          <w:tcPr>
            <w:tcW w:type="dxa" w:w="2700"/>
            <w:tcMar>
              <w:top w:type="dxa" w:w="70"/>
              <w:left w:type="dxa" w:w="100"/>
              <w:bottom w:type="dxa" w:w="70"/>
              <w:right w:type="dxa" w:w="100"/>
            </w:tcMar>
          </w:tcPr>
          <w:p>
            <w:pPr>
              <w:spacing w:after="40" w:line="252"/>
            </w:pPr>
            <w:r>
              <w:rPr>
                <w:rFonts w:ascii="Arial" w:cs="Arial" w:eastAsia="Arial" w:hAnsi="Arial"/>
                <w:color w:val="1A1A1A"/>
                <w:sz w:val="18"/>
                <w:szCs w:val="18"/>
              </w:rPr>
              <w:t xml:space="preserve">Source data quality worsens (new categories, duplicates, missing fields)</w:t>
            </w:r>
          </w:p>
        </w:tc>
        <w:tc>
          <w:tcPr>
            <w:tcW w:type="dxa" w:w="1400"/>
            <w:tcMar>
              <w:top w:type="dxa" w:w="70"/>
              <w:left w:type="dxa" w:w="100"/>
              <w:bottom w:type="dxa" w:w="70"/>
              <w:right w:type="dxa" w:w="100"/>
            </w:tcMar>
          </w:tcPr>
          <w:p>
            <w:pPr>
              <w:spacing w:after="40" w:line="252"/>
            </w:pPr>
            <w:r>
              <w:rPr>
                <w:rFonts w:ascii="Arial" w:cs="Arial" w:eastAsia="Arial" w:hAnsi="Arial"/>
                <w:color w:val="1A1A1A"/>
                <w:sz w:val="18"/>
                <w:szCs w:val="18"/>
              </w:rPr>
              <w:t xml:space="preserve">Medium / High</w:t>
            </w:r>
          </w:p>
        </w:tc>
        <w:tc>
          <w:tcPr>
            <w:tcW w:type="dxa" w:w="3660"/>
            <w:tcMar>
              <w:top w:type="dxa" w:w="70"/>
              <w:left w:type="dxa" w:w="100"/>
              <w:bottom w:type="dxa" w:w="70"/>
              <w:right w:type="dxa" w:w="100"/>
            </w:tcMar>
          </w:tcPr>
          <w:p>
            <w:pPr>
              <w:spacing w:after="40" w:line="252"/>
            </w:pPr>
            <w:r>
              <w:rPr>
                <w:rFonts w:ascii="Arial" w:cs="Arial" w:eastAsia="Arial" w:hAnsi="Arial"/>
                <w:color w:val="1A1A1A"/>
                <w:sz w:val="18"/>
                <w:szCs w:val="18"/>
              </w:rPr>
              <w:t xml:space="preserve">Automated controls with FAIL stops; data-owner SLA; control results visible in the pack</w:t>
            </w:r>
          </w:p>
        </w:tc>
        <w:tc>
          <w:tcPr>
            <w:tcW w:type="dxa" w:w="1600"/>
            <w:tcMar>
              <w:top w:type="dxa" w:w="70"/>
              <w:left w:type="dxa" w:w="100"/>
              <w:bottom w:type="dxa" w:w="70"/>
              <w:right w:type="dxa" w:w="100"/>
            </w:tcMar>
          </w:tcPr>
          <w:p>
            <w:pPr>
              <w:spacing w:after="40" w:line="252"/>
            </w:pPr>
            <w:r>
              <w:rPr>
                <w:rFonts w:ascii="Arial" w:cs="Arial" w:eastAsia="Arial" w:hAnsi="Arial"/>
                <w:color w:val="1A1A1A"/>
                <w:sz w:val="18"/>
                <w:szCs w:val="18"/>
              </w:rPr>
              <w:t xml:space="preserve">Data owner</w:t>
            </w:r>
          </w:p>
        </w:tc>
      </w:tr>
      <w:tr>
        <w:trPr>
          <w:cantSplit/>
        </w:trPr>
        <w:tc>
          <w:tcPr>
            <w:tcW w:type="dxa" w:w="2700"/>
            <w:tcMar>
              <w:top w:type="dxa" w:w="70"/>
              <w:left w:type="dxa" w:w="100"/>
              <w:bottom w:type="dxa" w:w="70"/>
              <w:right w:type="dxa" w:w="100"/>
            </w:tcMar>
          </w:tcPr>
          <w:p>
            <w:pPr>
              <w:spacing w:after="40" w:line="252"/>
            </w:pPr>
            <w:r>
              <w:rPr>
                <w:rFonts w:ascii="Arial" w:cs="Arial" w:eastAsia="Arial" w:hAnsi="Arial"/>
                <w:color w:val="1A1A1A"/>
                <w:sz w:val="18"/>
                <w:szCs w:val="18"/>
              </w:rPr>
              <w:t xml:space="preserve">Satisfaction scale cannot be confirmed</w:t>
            </w:r>
          </w:p>
        </w:tc>
        <w:tc>
          <w:tcPr>
            <w:tcW w:type="dxa" w:w="1400"/>
            <w:tcMar>
              <w:top w:type="dxa" w:w="70"/>
              <w:left w:type="dxa" w:w="100"/>
              <w:bottom w:type="dxa" w:w="70"/>
              <w:right w:type="dxa" w:w="100"/>
            </w:tcMar>
          </w:tcPr>
          <w:p>
            <w:pPr>
              <w:spacing w:after="40" w:line="252"/>
            </w:pPr>
            <w:r>
              <w:rPr>
                <w:rFonts w:ascii="Arial" w:cs="Arial" w:eastAsia="Arial" w:hAnsi="Arial"/>
                <w:color w:val="1A1A1A"/>
                <w:sz w:val="18"/>
                <w:szCs w:val="18"/>
              </w:rPr>
              <w:t xml:space="preserve">Medium / Medium</w:t>
            </w:r>
          </w:p>
        </w:tc>
        <w:tc>
          <w:tcPr>
            <w:tcW w:type="dxa" w:w="3660"/>
            <w:tcMar>
              <w:top w:type="dxa" w:w="70"/>
              <w:left w:type="dxa" w:w="100"/>
              <w:bottom w:type="dxa" w:w="70"/>
              <w:right w:type="dxa" w:w="100"/>
            </w:tcMar>
          </w:tcPr>
          <w:p>
            <w:pPr>
              <w:spacing w:after="40" w:line="252"/>
            </w:pPr>
            <w:r>
              <w:rPr>
                <w:rFonts w:ascii="Arial" w:cs="Arial" w:eastAsia="Arial" w:hAnsi="Arial"/>
                <w:color w:val="1A1A1A"/>
                <w:sz w:val="18"/>
                <w:szCs w:val="18"/>
              </w:rPr>
              <w:t xml:space="preserve">Show satisfaction as trend-only with n and a caution flag until resolved</w:t>
            </w:r>
          </w:p>
        </w:tc>
        <w:tc>
          <w:tcPr>
            <w:tcW w:type="dxa" w:w="1600"/>
            <w:tcMar>
              <w:top w:type="dxa" w:w="70"/>
              <w:left w:type="dxa" w:w="100"/>
              <w:bottom w:type="dxa" w:w="70"/>
              <w:right w:type="dxa" w:w="100"/>
            </w:tcMar>
          </w:tcPr>
          <w:p>
            <w:pPr>
              <w:spacing w:after="40" w:line="252"/>
            </w:pPr>
            <w:r>
              <w:rPr>
                <w:rFonts w:ascii="Arial" w:cs="Arial" w:eastAsia="Arial" w:hAnsi="Arial"/>
                <w:color w:val="1A1A1A"/>
                <w:sz w:val="18"/>
                <w:szCs w:val="18"/>
              </w:rPr>
              <w:t xml:space="preserve">CX Lead</w:t>
            </w:r>
          </w:p>
        </w:tc>
      </w:tr>
      <w:tr>
        <w:trPr>
          <w:cantSplit/>
        </w:trPr>
        <w:tc>
          <w:tcPr>
            <w:tcW w:type="dxa" w:w="2700"/>
            <w:tcMar>
              <w:top w:type="dxa" w:w="70"/>
              <w:left w:type="dxa" w:w="100"/>
              <w:bottom w:type="dxa" w:w="70"/>
              <w:right w:type="dxa" w:w="100"/>
            </w:tcMar>
          </w:tcPr>
          <w:p>
            <w:pPr>
              <w:spacing w:after="40" w:line="252"/>
            </w:pPr>
            <w:r>
              <w:rPr>
                <w:rFonts w:ascii="Arial" w:cs="Arial" w:eastAsia="Arial" w:hAnsi="Arial"/>
                <w:color w:val="1A1A1A"/>
                <w:sz w:val="18"/>
                <w:szCs w:val="18"/>
              </w:rPr>
              <w:t xml:space="preserve">Scope creep (more metrics, more views)</w:t>
            </w:r>
          </w:p>
        </w:tc>
        <w:tc>
          <w:tcPr>
            <w:tcW w:type="dxa" w:w="1400"/>
            <w:tcMar>
              <w:top w:type="dxa" w:w="70"/>
              <w:left w:type="dxa" w:w="100"/>
              <w:bottom w:type="dxa" w:w="70"/>
              <w:right w:type="dxa" w:w="100"/>
            </w:tcMar>
          </w:tcPr>
          <w:p>
            <w:pPr>
              <w:spacing w:after="40" w:line="252"/>
            </w:pPr>
            <w:r>
              <w:rPr>
                <w:rFonts w:ascii="Arial" w:cs="Arial" w:eastAsia="Arial" w:hAnsi="Arial"/>
                <w:color w:val="1A1A1A"/>
                <w:sz w:val="18"/>
                <w:szCs w:val="18"/>
              </w:rPr>
              <w:t xml:space="preserve">High / Medium</w:t>
            </w:r>
          </w:p>
        </w:tc>
        <w:tc>
          <w:tcPr>
            <w:tcW w:type="dxa" w:w="3660"/>
            <w:tcMar>
              <w:top w:type="dxa" w:w="70"/>
              <w:left w:type="dxa" w:w="100"/>
              <w:bottom w:type="dxa" w:w="70"/>
              <w:right w:type="dxa" w:w="100"/>
            </w:tcMar>
          </w:tcPr>
          <w:p>
            <w:pPr>
              <w:spacing w:after="40" w:line="252"/>
            </w:pPr>
            <w:r>
              <w:rPr>
                <w:rFonts w:ascii="Arial" w:cs="Arial" w:eastAsia="Arial" w:hAnsi="Arial"/>
                <w:color w:val="1A1A1A"/>
                <w:sz w:val="18"/>
                <w:szCs w:val="18"/>
              </w:rPr>
              <w:t xml:space="preserve">Decision-based scope; quarterly backlog review; see PM-3</w:t>
            </w:r>
          </w:p>
        </w:tc>
        <w:tc>
          <w:tcPr>
            <w:tcW w:type="dxa" w:w="1600"/>
            <w:tcMar>
              <w:top w:type="dxa" w:w="70"/>
              <w:left w:type="dxa" w:w="100"/>
              <w:bottom w:type="dxa" w:w="70"/>
              <w:right w:type="dxa" w:w="100"/>
            </w:tcMar>
          </w:tcPr>
          <w:p>
            <w:pPr>
              <w:spacing w:after="40" w:line="252"/>
            </w:pPr>
            <w:r>
              <w:rPr>
                <w:rFonts w:ascii="Arial" w:cs="Arial" w:eastAsia="Arial" w:hAnsi="Arial"/>
                <w:color w:val="1A1A1A"/>
                <w:sz w:val="18"/>
                <w:szCs w:val="18"/>
              </w:rPr>
              <w:t xml:space="preserve">BI Analyst + Sponsor</w:t>
            </w:r>
          </w:p>
        </w:tc>
      </w:tr>
      <w:tr>
        <w:trPr>
          <w:cantSplit/>
        </w:trPr>
        <w:tc>
          <w:tcPr>
            <w:tcW w:type="dxa" w:w="2700"/>
            <w:tcMar>
              <w:top w:type="dxa" w:w="70"/>
              <w:left w:type="dxa" w:w="100"/>
              <w:bottom w:type="dxa" w:w="70"/>
              <w:right w:type="dxa" w:w="100"/>
            </w:tcMar>
          </w:tcPr>
          <w:p>
            <w:pPr>
              <w:spacing w:after="40" w:line="252"/>
            </w:pPr>
            <w:r>
              <w:rPr>
                <w:rFonts w:ascii="Arial" w:cs="Arial" w:eastAsia="Arial" w:hAnsi="Arial"/>
                <w:color w:val="1A1A1A"/>
                <w:sz w:val="18"/>
                <w:szCs w:val="18"/>
              </w:rPr>
              <w:t xml:space="preserve">Low adoption by leaders</w:t>
            </w:r>
          </w:p>
        </w:tc>
        <w:tc>
          <w:tcPr>
            <w:tcW w:type="dxa" w:w="1400"/>
            <w:tcMar>
              <w:top w:type="dxa" w:w="70"/>
              <w:left w:type="dxa" w:w="100"/>
              <w:bottom w:type="dxa" w:w="70"/>
              <w:right w:type="dxa" w:w="100"/>
            </w:tcMar>
          </w:tcPr>
          <w:p>
            <w:pPr>
              <w:spacing w:after="40" w:line="252"/>
            </w:pPr>
            <w:r>
              <w:rPr>
                <w:rFonts w:ascii="Arial" w:cs="Arial" w:eastAsia="Arial" w:hAnsi="Arial"/>
                <w:color w:val="1A1A1A"/>
                <w:sz w:val="18"/>
                <w:szCs w:val="18"/>
              </w:rPr>
              <w:t xml:space="preserve">Medium / High</w:t>
            </w:r>
          </w:p>
        </w:tc>
        <w:tc>
          <w:tcPr>
            <w:tcW w:type="dxa" w:w="3660"/>
            <w:tcMar>
              <w:top w:type="dxa" w:w="70"/>
              <w:left w:type="dxa" w:w="100"/>
              <w:bottom w:type="dxa" w:w="70"/>
              <w:right w:type="dxa" w:w="100"/>
            </w:tcMar>
          </w:tcPr>
          <w:p>
            <w:pPr>
              <w:spacing w:after="40" w:line="252"/>
            </w:pPr>
            <w:r>
              <w:rPr>
                <w:rFonts w:ascii="Arial" w:cs="Arial" w:eastAsia="Arial" w:hAnsi="Arial"/>
                <w:color w:val="1A1A1A"/>
                <w:sz w:val="18"/>
                <w:szCs w:val="18"/>
              </w:rPr>
              <w:t xml:space="preserve">Co-design in discovery; attention list on page one; use the pack in the monthly meeting</w:t>
            </w:r>
          </w:p>
        </w:tc>
        <w:tc>
          <w:tcPr>
            <w:tcW w:type="dxa" w:w="1600"/>
            <w:tcMar>
              <w:top w:type="dxa" w:w="70"/>
              <w:left w:type="dxa" w:w="100"/>
              <w:bottom w:type="dxa" w:w="70"/>
              <w:right w:type="dxa" w:w="100"/>
            </w:tcMar>
          </w:tcPr>
          <w:p>
            <w:pPr>
              <w:spacing w:after="40" w:line="252"/>
            </w:pPr>
            <w:r>
              <w:rPr>
                <w:rFonts w:ascii="Arial" w:cs="Arial" w:eastAsia="Arial" w:hAnsi="Arial"/>
                <w:color w:val="1A1A1A"/>
                <w:sz w:val="18"/>
                <w:szCs w:val="18"/>
              </w:rPr>
              <w:t xml:space="preserve">Sponsor</w:t>
            </w:r>
          </w:p>
        </w:tc>
      </w:tr>
      <w:tr>
        <w:trPr>
          <w:cantSplit/>
        </w:trPr>
        <w:tc>
          <w:tcPr>
            <w:tcW w:type="dxa" w:w="2700"/>
            <w:tcMar>
              <w:top w:type="dxa" w:w="70"/>
              <w:left w:type="dxa" w:w="100"/>
              <w:bottom w:type="dxa" w:w="70"/>
              <w:right w:type="dxa" w:w="100"/>
            </w:tcMar>
          </w:tcPr>
          <w:p>
            <w:pPr>
              <w:spacing w:after="40" w:line="252"/>
            </w:pPr>
            <w:r>
              <w:rPr>
                <w:rFonts w:ascii="Arial" w:cs="Arial" w:eastAsia="Arial" w:hAnsi="Arial"/>
                <w:color w:val="1A1A1A"/>
                <w:sz w:val="18"/>
                <w:szCs w:val="18"/>
              </w:rPr>
              <w:t xml:space="preserve">Key-person dependency on one analyst</w:t>
            </w:r>
          </w:p>
        </w:tc>
        <w:tc>
          <w:tcPr>
            <w:tcW w:type="dxa" w:w="1400"/>
            <w:tcMar>
              <w:top w:type="dxa" w:w="70"/>
              <w:left w:type="dxa" w:w="100"/>
              <w:bottom w:type="dxa" w:w="70"/>
              <w:right w:type="dxa" w:w="100"/>
            </w:tcMar>
          </w:tcPr>
          <w:p>
            <w:pPr>
              <w:spacing w:after="40" w:line="252"/>
            </w:pPr>
            <w:r>
              <w:rPr>
                <w:rFonts w:ascii="Arial" w:cs="Arial" w:eastAsia="Arial" w:hAnsi="Arial"/>
                <w:color w:val="1A1A1A"/>
                <w:sz w:val="18"/>
                <w:szCs w:val="18"/>
              </w:rPr>
              <w:t xml:space="preserve">Medium / Medium</w:t>
            </w:r>
          </w:p>
        </w:tc>
        <w:tc>
          <w:tcPr>
            <w:tcW w:type="dxa" w:w="3660"/>
            <w:tcMar>
              <w:top w:type="dxa" w:w="70"/>
              <w:left w:type="dxa" w:w="100"/>
              <w:bottom w:type="dxa" w:w="70"/>
              <w:right w:type="dxa" w:w="100"/>
            </w:tcMar>
          </w:tcPr>
          <w:p>
            <w:pPr>
              <w:spacing w:after="40" w:line="252"/>
            </w:pPr>
            <w:r>
              <w:rPr>
                <w:rFonts w:ascii="Arial" w:cs="Arial" w:eastAsia="Arial" w:hAnsi="Arial"/>
                <w:color w:val="1A1A1A"/>
                <w:sz w:val="18"/>
                <w:szCs w:val="18"/>
              </w:rPr>
              <w:t xml:space="preserve">Runbook, peer-reviewed code in version control, backup owner trained</w:t>
            </w:r>
          </w:p>
        </w:tc>
        <w:tc>
          <w:tcPr>
            <w:tcW w:type="dxa" w:w="1600"/>
            <w:tcMar>
              <w:top w:type="dxa" w:w="70"/>
              <w:left w:type="dxa" w:w="100"/>
              <w:bottom w:type="dxa" w:w="70"/>
              <w:right w:type="dxa" w:w="100"/>
            </w:tcMar>
          </w:tcPr>
          <w:p>
            <w:pPr>
              <w:spacing w:after="40" w:line="252"/>
            </w:pPr>
            <w:r>
              <w:rPr>
                <w:rFonts w:ascii="Arial" w:cs="Arial" w:eastAsia="Arial" w:hAnsi="Arial"/>
                <w:color w:val="1A1A1A"/>
                <w:sz w:val="18"/>
                <w:szCs w:val="18"/>
              </w:rPr>
              <w:t xml:space="preserve">BI Manager</w:t>
            </w:r>
          </w:p>
        </w:tc>
      </w:tr>
    </w:tbl>
    <w:p>
      <w:pPr>
        <w:pStyle w:val="Heading2"/>
        <w:spacing w:after="80" w:before="200"/>
      </w:pPr>
      <w:r>
        <w:rPr>
          <w:rFonts w:ascii="Arial" w:cs="Arial" w:eastAsia="Arial" w:hAnsi="Arial"/>
          <w:b/>
          <w:bCs/>
          <w:color w:val="1A1A1A"/>
          <w:sz w:val="23"/>
          <w:szCs w:val="23"/>
        </w:rPr>
        <w:t xml:space="preserve">Stakeholder decisions required</w:t>
      </w:r>
    </w:p>
    <w:tbl>
      <w:tblPr>
        <w:tblW w:type="dxa" w:w="9360"/>
        <w:tblBorders>
          <w:top w:val="single" w:color="D6D4CD" w:sz="4"/>
          <w:left w:val="single" w:color="D6D4CD" w:sz="4"/>
          <w:bottom w:val="single" w:color="D6D4CD" w:sz="4"/>
          <w:right w:val="single" w:color="D6D4CD" w:sz="4"/>
          <w:insideH w:val="single" w:color="D6D4CD" w:sz="4"/>
          <w:insideV w:val="single" w:color="D6D4CD" w:sz="4"/>
        </w:tblBorders>
      </w:tblPr>
      <w:tblGrid>
        <w:gridCol w:w="5160"/>
        <w:gridCol w:w="2600"/>
        <w:gridCol w:w="1600"/>
      </w:tblGrid>
      <w:tr>
        <w:trPr>
          <w:tblHeader/>
        </w:trPr>
        <w:tc>
          <w:tcPr>
            <w:tcW w:type="dxa" w:w="5160"/>
            <w:shd w:fill="EFEEE9"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Decision</w:t>
            </w:r>
          </w:p>
        </w:tc>
        <w:tc>
          <w:tcPr>
            <w:tcW w:type="dxa" w:w="2600"/>
            <w:shd w:fill="EFEEE9"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Decision maker</w:t>
            </w:r>
          </w:p>
        </w:tc>
        <w:tc>
          <w:tcPr>
            <w:tcW w:type="dxa" w:w="1600"/>
            <w:shd w:fill="EFEEE9"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Needed by</w:t>
            </w:r>
          </w:p>
        </w:tc>
      </w:tr>
      <w:tr>
        <w:trPr>
          <w:cantSplit/>
        </w:trPr>
        <w:tc>
          <w:tcPr>
            <w:tcW w:type="dxa" w:w="5160"/>
            <w:tcMar>
              <w:top w:type="dxa" w:w="70"/>
              <w:left w:type="dxa" w:w="100"/>
              <w:bottom w:type="dxa" w:w="70"/>
              <w:right w:type="dxa" w:w="100"/>
            </w:tcMar>
          </w:tcPr>
          <w:p>
            <w:pPr>
              <w:spacing w:after="40" w:line="252"/>
            </w:pPr>
            <w:r>
              <w:rPr>
                <w:rFonts w:ascii="Arial" w:cs="Arial" w:eastAsia="Arial" w:hAnsi="Arial"/>
                <w:color w:val="1A1A1A"/>
                <w:sz w:val="18"/>
                <w:szCs w:val="18"/>
              </w:rPr>
              <w:t xml:space="preserve">Approve the KPI shortlist and add the service-level and abandonment targets</w:t>
            </w:r>
          </w:p>
        </w:tc>
        <w:tc>
          <w:tcPr>
            <w:tcW w:type="dxa" w:w="2600"/>
            <w:tcMar>
              <w:top w:type="dxa" w:w="70"/>
              <w:left w:type="dxa" w:w="100"/>
              <w:bottom w:type="dxa" w:w="70"/>
              <w:right w:type="dxa" w:w="100"/>
            </w:tcMar>
          </w:tcPr>
          <w:p>
            <w:pPr>
              <w:spacing w:after="40" w:line="252"/>
            </w:pPr>
            <w:r>
              <w:rPr>
                <w:rFonts w:ascii="Arial" w:cs="Arial" w:eastAsia="Arial" w:hAnsi="Arial"/>
                <w:color w:val="1A1A1A"/>
                <w:sz w:val="18"/>
                <w:szCs w:val="18"/>
              </w:rPr>
              <w:t xml:space="preserve">VP Member Service</w:t>
            </w:r>
          </w:p>
        </w:tc>
        <w:tc>
          <w:tcPr>
            <w:tcW w:type="dxa" w:w="1600"/>
            <w:tcMar>
              <w:top w:type="dxa" w:w="70"/>
              <w:left w:type="dxa" w:w="100"/>
              <w:bottom w:type="dxa" w:w="70"/>
              <w:right w:type="dxa" w:w="100"/>
            </w:tcMar>
          </w:tcPr>
          <w:p>
            <w:pPr>
              <w:spacing w:after="40" w:line="252"/>
            </w:pPr>
            <w:r>
              <w:rPr>
                <w:rFonts w:ascii="Arial" w:cs="Arial" w:eastAsia="Arial" w:hAnsi="Arial"/>
                <w:color w:val="1A1A1A"/>
                <w:sz w:val="18"/>
                <w:szCs w:val="18"/>
              </w:rPr>
              <w:t xml:space="preserve">End of week 3</w:t>
            </w:r>
          </w:p>
        </w:tc>
      </w:tr>
      <w:tr>
        <w:trPr>
          <w:cantSplit/>
        </w:trPr>
        <w:tc>
          <w:tcPr>
            <w:tcW w:type="dxa" w:w="5160"/>
            <w:tcMar>
              <w:top w:type="dxa" w:w="70"/>
              <w:left w:type="dxa" w:w="100"/>
              <w:bottom w:type="dxa" w:w="70"/>
              <w:right w:type="dxa" w:w="100"/>
            </w:tcMar>
          </w:tcPr>
          <w:p>
            <w:pPr>
              <w:spacing w:after="40" w:line="252"/>
            </w:pPr>
            <w:r>
              <w:rPr>
                <w:rFonts w:ascii="Arial" w:cs="Arial" w:eastAsia="Arial" w:hAnsi="Arial"/>
                <w:color w:val="1A1A1A"/>
                <w:sz w:val="18"/>
                <w:szCs w:val="18"/>
              </w:rPr>
              <w:t xml:space="preserve">Satisfaction: confirm scale and method; keep as target or trend-only</w:t>
            </w:r>
          </w:p>
        </w:tc>
        <w:tc>
          <w:tcPr>
            <w:tcW w:type="dxa" w:w="2600"/>
            <w:tcMar>
              <w:top w:type="dxa" w:w="70"/>
              <w:left w:type="dxa" w:w="100"/>
              <w:bottom w:type="dxa" w:w="70"/>
              <w:right w:type="dxa" w:w="100"/>
            </w:tcMar>
          </w:tcPr>
          <w:p>
            <w:pPr>
              <w:spacing w:after="40" w:line="252"/>
            </w:pPr>
            <w:r>
              <w:rPr>
                <w:rFonts w:ascii="Arial" w:cs="Arial" w:eastAsia="Arial" w:hAnsi="Arial"/>
                <w:color w:val="1A1A1A"/>
                <w:sz w:val="18"/>
                <w:szCs w:val="18"/>
              </w:rPr>
              <w:t xml:space="preserve">CX Lead + VP Member Service</w:t>
            </w:r>
          </w:p>
        </w:tc>
        <w:tc>
          <w:tcPr>
            <w:tcW w:type="dxa" w:w="1600"/>
            <w:tcMar>
              <w:top w:type="dxa" w:w="70"/>
              <w:left w:type="dxa" w:w="100"/>
              <w:bottom w:type="dxa" w:w="70"/>
              <w:right w:type="dxa" w:w="100"/>
            </w:tcMar>
          </w:tcPr>
          <w:p>
            <w:pPr>
              <w:spacing w:after="40" w:line="252"/>
            </w:pPr>
            <w:r>
              <w:rPr>
                <w:rFonts w:ascii="Arial" w:cs="Arial" w:eastAsia="Arial" w:hAnsi="Arial"/>
                <w:color w:val="1A1A1A"/>
                <w:sz w:val="18"/>
                <w:szCs w:val="18"/>
              </w:rPr>
              <w:t xml:space="preserve">End of week 3</w:t>
            </w:r>
          </w:p>
        </w:tc>
      </w:tr>
      <w:tr>
        <w:trPr>
          <w:cantSplit/>
        </w:trPr>
        <w:tc>
          <w:tcPr>
            <w:tcW w:type="dxa" w:w="5160"/>
            <w:tcMar>
              <w:top w:type="dxa" w:w="70"/>
              <w:left w:type="dxa" w:w="100"/>
              <w:bottom w:type="dxa" w:w="70"/>
              <w:right w:type="dxa" w:w="100"/>
            </w:tcMar>
          </w:tcPr>
          <w:p>
            <w:pPr>
              <w:spacing w:after="40" w:line="252"/>
            </w:pPr>
            <w:r>
              <w:rPr>
                <w:rFonts w:ascii="Arial" w:cs="Arial" w:eastAsia="Arial" w:hAnsi="Arial"/>
                <w:color w:val="1A1A1A"/>
                <w:sz w:val="18"/>
                <w:szCs w:val="18"/>
              </w:rPr>
              <w:t xml:space="preserve">Adopt same-reason repeat; commission the outcome-code QA audit</w:t>
            </w:r>
          </w:p>
        </w:tc>
        <w:tc>
          <w:tcPr>
            <w:tcW w:type="dxa" w:w="2600"/>
            <w:tcMar>
              <w:top w:type="dxa" w:w="70"/>
              <w:left w:type="dxa" w:w="100"/>
              <w:bottom w:type="dxa" w:w="70"/>
              <w:right w:type="dxa" w:w="100"/>
            </w:tcMar>
          </w:tcPr>
          <w:p>
            <w:pPr>
              <w:spacing w:after="40" w:line="252"/>
            </w:pPr>
            <w:r>
              <w:rPr>
                <w:rFonts w:ascii="Arial" w:cs="Arial" w:eastAsia="Arial" w:hAnsi="Arial"/>
                <w:color w:val="1A1A1A"/>
                <w:sz w:val="18"/>
                <w:szCs w:val="18"/>
              </w:rPr>
              <w:t xml:space="preserve">QA Lead + VP Member Service</w:t>
            </w:r>
          </w:p>
        </w:tc>
        <w:tc>
          <w:tcPr>
            <w:tcW w:type="dxa" w:w="1600"/>
            <w:tcMar>
              <w:top w:type="dxa" w:w="70"/>
              <w:left w:type="dxa" w:w="100"/>
              <w:bottom w:type="dxa" w:w="70"/>
              <w:right w:type="dxa" w:w="100"/>
            </w:tcMar>
          </w:tcPr>
          <w:p>
            <w:pPr>
              <w:spacing w:after="40" w:line="252"/>
            </w:pPr>
            <w:r>
              <w:rPr>
                <w:rFonts w:ascii="Arial" w:cs="Arial" w:eastAsia="Arial" w:hAnsi="Arial"/>
                <w:color w:val="1A1A1A"/>
                <w:sz w:val="18"/>
                <w:szCs w:val="18"/>
              </w:rPr>
              <w:t xml:space="preserve">Week 4</w:t>
            </w:r>
          </w:p>
        </w:tc>
      </w:tr>
      <w:tr>
        <w:trPr>
          <w:cantSplit/>
        </w:trPr>
        <w:tc>
          <w:tcPr>
            <w:tcW w:type="dxa" w:w="5160"/>
            <w:tcMar>
              <w:top w:type="dxa" w:w="70"/>
              <w:left w:type="dxa" w:w="100"/>
              <w:bottom w:type="dxa" w:w="70"/>
              <w:right w:type="dxa" w:w="100"/>
            </w:tcMar>
          </w:tcPr>
          <w:p>
            <w:pPr>
              <w:spacing w:after="40" w:line="252"/>
            </w:pPr>
            <w:r>
              <w:rPr>
                <w:rFonts w:ascii="Arial" w:cs="Arial" w:eastAsia="Arial" w:hAnsi="Arial"/>
                <w:color w:val="1A1A1A"/>
                <w:sz w:val="18"/>
                <w:szCs w:val="18"/>
              </w:rPr>
              <w:t xml:space="preserve">Alert thresholds and who receives weekly hot-spot alerts</w:t>
            </w:r>
          </w:p>
        </w:tc>
        <w:tc>
          <w:tcPr>
            <w:tcW w:type="dxa" w:w="2600"/>
            <w:tcMar>
              <w:top w:type="dxa" w:w="70"/>
              <w:left w:type="dxa" w:w="100"/>
              <w:bottom w:type="dxa" w:w="70"/>
              <w:right w:type="dxa" w:w="100"/>
            </w:tcMar>
          </w:tcPr>
          <w:p>
            <w:pPr>
              <w:spacing w:after="40" w:line="252"/>
            </w:pPr>
            <w:r>
              <w:rPr>
                <w:rFonts w:ascii="Arial" w:cs="Arial" w:eastAsia="Arial" w:hAnsi="Arial"/>
                <w:color w:val="1A1A1A"/>
                <w:sz w:val="18"/>
                <w:szCs w:val="18"/>
              </w:rPr>
              <w:t xml:space="preserve">Ops Manager</w:t>
            </w:r>
          </w:p>
        </w:tc>
        <w:tc>
          <w:tcPr>
            <w:tcW w:type="dxa" w:w="1600"/>
            <w:tcMar>
              <w:top w:type="dxa" w:w="70"/>
              <w:left w:type="dxa" w:w="100"/>
              <w:bottom w:type="dxa" w:w="70"/>
              <w:right w:type="dxa" w:w="100"/>
            </w:tcMar>
          </w:tcPr>
          <w:p>
            <w:pPr>
              <w:spacing w:after="40" w:line="252"/>
            </w:pPr>
            <w:r>
              <w:rPr>
                <w:rFonts w:ascii="Arial" w:cs="Arial" w:eastAsia="Arial" w:hAnsi="Arial"/>
                <w:color w:val="1A1A1A"/>
                <w:sz w:val="18"/>
                <w:szCs w:val="18"/>
              </w:rPr>
              <w:t xml:space="preserve">Week 6</w:t>
            </w:r>
          </w:p>
        </w:tc>
      </w:tr>
      <w:tr>
        <w:trPr>
          <w:cantSplit/>
        </w:trPr>
        <w:tc>
          <w:tcPr>
            <w:tcW w:type="dxa" w:w="5160"/>
            <w:tcMar>
              <w:top w:type="dxa" w:w="70"/>
              <w:left w:type="dxa" w:w="100"/>
              <w:bottom w:type="dxa" w:w="70"/>
              <w:right w:type="dxa" w:w="100"/>
            </w:tcMar>
          </w:tcPr>
          <w:p>
            <w:pPr>
              <w:spacing w:after="40" w:line="252"/>
            </w:pPr>
            <w:r>
              <w:rPr>
                <w:rFonts w:ascii="Arial" w:cs="Arial" w:eastAsia="Arial" w:hAnsi="Arial"/>
                <w:color w:val="1A1A1A"/>
                <w:sz w:val="18"/>
                <w:szCs w:val="18"/>
              </w:rPr>
              <w:t xml:space="preserve">Production access, security groups, data retention</w:t>
            </w:r>
          </w:p>
        </w:tc>
        <w:tc>
          <w:tcPr>
            <w:tcW w:type="dxa" w:w="2600"/>
            <w:tcMar>
              <w:top w:type="dxa" w:w="70"/>
              <w:left w:type="dxa" w:w="100"/>
              <w:bottom w:type="dxa" w:w="70"/>
              <w:right w:type="dxa" w:w="100"/>
            </w:tcMar>
          </w:tcPr>
          <w:p>
            <w:pPr>
              <w:spacing w:after="40" w:line="252"/>
            </w:pPr>
            <w:r>
              <w:rPr>
                <w:rFonts w:ascii="Arial" w:cs="Arial" w:eastAsia="Arial" w:hAnsi="Arial"/>
                <w:color w:val="1A1A1A"/>
                <w:sz w:val="18"/>
                <w:szCs w:val="18"/>
              </w:rPr>
              <w:t xml:space="preserve">IT / Data Governance</w:t>
            </w:r>
          </w:p>
        </w:tc>
        <w:tc>
          <w:tcPr>
            <w:tcW w:type="dxa" w:w="1600"/>
            <w:tcMar>
              <w:top w:type="dxa" w:w="70"/>
              <w:left w:type="dxa" w:w="100"/>
              <w:bottom w:type="dxa" w:w="70"/>
              <w:right w:type="dxa" w:w="100"/>
            </w:tcMar>
          </w:tcPr>
          <w:p>
            <w:pPr>
              <w:spacing w:after="40" w:line="252"/>
            </w:pPr>
            <w:r>
              <w:rPr>
                <w:rFonts w:ascii="Arial" w:cs="Arial" w:eastAsia="Arial" w:hAnsi="Arial"/>
                <w:color w:val="1A1A1A"/>
                <w:sz w:val="18"/>
                <w:szCs w:val="18"/>
              </w:rPr>
              <w:t xml:space="preserve">Week 6</w:t>
            </w:r>
          </w:p>
        </w:tc>
      </w:tr>
    </w:tbl>
    <w:p>
      <w:pPr>
        <w:pStyle w:val="Heading2"/>
        <w:spacing w:after="80" w:before="200"/>
      </w:pPr>
      <w:r>
        <w:rPr>
          <w:rFonts w:ascii="Arial" w:cs="Arial" w:eastAsia="Arial" w:hAnsi="Arial"/>
          <w:b/>
          <w:bCs/>
          <w:color w:val="1A1A1A"/>
          <w:sz w:val="23"/>
          <w:szCs w:val="23"/>
        </w:rPr>
        <w:t xml:space="preserve">Controls to sustain the solution</w:t>
      </w:r>
    </w:p>
    <w:p>
      <w:pPr>
        <w:pStyle w:val="ListParagraph"/>
        <w:numPr>
          <w:ilvl w:val="0"/>
          <w:numId w:val="2"/>
        </w:numPr>
        <w:spacing w:after="60" w:line="264"/>
      </w:pPr>
      <w:r>
        <w:rPr>
          <w:rFonts w:ascii="Arial" w:cs="Arial" w:eastAsia="Arial" w:hAnsi="Arial"/>
          <w:b/>
          <w:bCs/>
          <w:color w:val="1A1A1A"/>
          <w:sz w:val="20"/>
          <w:szCs w:val="20"/>
        </w:rPr>
        <w:t xml:space="preserve">Data controls:</w:t>
      </w:r>
      <w:r>
        <w:rPr>
          <w:rFonts w:ascii="Arial" w:cs="Arial" w:eastAsia="Arial" w:hAnsi="Arial"/>
          <w:color w:val="1A1A1A"/>
          <w:sz w:val="20"/>
          <w:szCs w:val="20"/>
        </w:rPr>
        <w:t xml:space="preserve"> schema, duplicates, category mapping, referential integrity, completeness, volume-swing checks on every run (PASS / WARN / FAIL; FAIL blocks publication).</w:t>
      </w:r>
    </w:p>
    <w:p>
      <w:pPr>
        <w:pStyle w:val="ListParagraph"/>
        <w:numPr>
          <w:ilvl w:val="0"/>
          <w:numId w:val="2"/>
        </w:numPr>
        <w:spacing w:after="60" w:line="264"/>
      </w:pPr>
      <w:r>
        <w:rPr>
          <w:rFonts w:ascii="Arial" w:cs="Arial" w:eastAsia="Arial" w:hAnsi="Arial"/>
          <w:b/>
          <w:bCs/>
          <w:color w:val="1A1A1A"/>
          <w:sz w:val="20"/>
          <w:szCs w:val="20"/>
        </w:rPr>
        <w:t xml:space="preserve">Reconciliation:</w:t>
      </w:r>
      <w:r>
        <w:rPr>
          <w:rFonts w:ascii="Arial" w:cs="Arial" w:eastAsia="Arial" w:hAnsi="Arial"/>
          <w:color w:val="1A1A1A"/>
          <w:sz w:val="20"/>
          <w:szCs w:val="20"/>
        </w:rPr>
        <w:t xml:space="preserve"> monthly total contacts reconciled to the source-system count; KPI pack reconciled to the dashboard.</w:t>
      </w:r>
    </w:p>
    <w:p>
      <w:pPr>
        <w:pStyle w:val="ListParagraph"/>
        <w:numPr>
          <w:ilvl w:val="0"/>
          <w:numId w:val="2"/>
        </w:numPr>
        <w:spacing w:after="60" w:line="264"/>
      </w:pPr>
      <w:r>
        <w:rPr>
          <w:rFonts w:ascii="Arial" w:cs="Arial" w:eastAsia="Arial" w:hAnsi="Arial"/>
          <w:b/>
          <w:bCs/>
          <w:color w:val="1A1A1A"/>
          <w:sz w:val="20"/>
          <w:szCs w:val="20"/>
        </w:rPr>
        <w:t xml:space="preserve">Change control:</w:t>
      </w:r>
      <w:r>
        <w:rPr>
          <w:rFonts w:ascii="Arial" w:cs="Arial" w:eastAsia="Arial" w:hAnsi="Arial"/>
          <w:color w:val="1A1A1A"/>
          <w:sz w:val="20"/>
          <w:szCs w:val="20"/>
        </w:rPr>
        <w:t xml:space="preserve"> SQL, DAX and Python in version control with peer review; metric dictionary versioned; changes logged and announced.</w:t>
      </w:r>
    </w:p>
    <w:p>
      <w:pPr>
        <w:pStyle w:val="ListParagraph"/>
        <w:numPr>
          <w:ilvl w:val="0"/>
          <w:numId w:val="2"/>
        </w:numPr>
        <w:spacing w:after="60" w:line="264"/>
      </w:pPr>
      <w:r>
        <w:rPr>
          <w:rFonts w:ascii="Arial" w:cs="Arial" w:eastAsia="Arial" w:hAnsi="Arial"/>
          <w:b/>
          <w:bCs/>
          <w:color w:val="1A1A1A"/>
          <w:sz w:val="20"/>
          <w:szCs w:val="20"/>
        </w:rPr>
        <w:t xml:space="preserve">Access &amp; privacy:</w:t>
      </w:r>
      <w:r>
        <w:rPr>
          <w:rFonts w:ascii="Arial" w:cs="Arial" w:eastAsia="Arial" w:hAnsi="Arial"/>
          <w:color w:val="1A1A1A"/>
          <w:sz w:val="20"/>
          <w:szCs w:val="20"/>
        </w:rPr>
        <w:t xml:space="preserve"> role-based access, no member-level data in leadership views, no external sharing links.</w:t>
      </w:r>
    </w:p>
    <w:p>
      <w:pPr>
        <w:pStyle w:val="ListParagraph"/>
        <w:numPr>
          <w:ilvl w:val="0"/>
          <w:numId w:val="2"/>
        </w:numPr>
        <w:spacing w:after="60" w:line="264"/>
      </w:pPr>
      <w:r>
        <w:rPr>
          <w:rFonts w:ascii="Arial" w:cs="Arial" w:eastAsia="Arial" w:hAnsi="Arial"/>
          <w:b/>
          <w:bCs/>
          <w:color w:val="1A1A1A"/>
          <w:sz w:val="20"/>
          <w:szCs w:val="20"/>
        </w:rPr>
        <w:t xml:space="preserve">Quality monitoring:</w:t>
      </w:r>
      <w:r>
        <w:rPr>
          <w:rFonts w:ascii="Arial" w:cs="Arial" w:eastAsia="Arial" w:hAnsi="Arial"/>
          <w:color w:val="1A1A1A"/>
          <w:sz w:val="20"/>
          <w:szCs w:val="20"/>
        </w:rPr>
        <w:t xml:space="preserve"> refresh success, on-time publication, control failures and dashboard usage reported quarterly.</w:t>
      </w:r>
    </w:p>
    <w:p>
      <w:pPr>
        <w:pStyle w:val="Heading2"/>
        <w:spacing w:after="80" w:before="200"/>
      </w:pPr>
      <w:r>
        <w:rPr>
          <w:rFonts w:ascii="Arial" w:cs="Arial" w:eastAsia="Arial" w:hAnsi="Arial"/>
          <w:b/>
          <w:bCs/>
          <w:color w:val="1A1A1A"/>
          <w:sz w:val="23"/>
          <w:szCs w:val="23"/>
        </w:rPr>
        <w:t xml:space="preserve">Communication plan</w:t>
      </w:r>
    </w:p>
    <w:tbl>
      <w:tblPr>
        <w:tblW w:type="dxa" w:w="9360"/>
        <w:tblBorders>
          <w:top w:val="single" w:color="D6D4CD" w:sz="4"/>
          <w:left w:val="single" w:color="D6D4CD" w:sz="4"/>
          <w:bottom w:val="single" w:color="D6D4CD" w:sz="4"/>
          <w:right w:val="single" w:color="D6D4CD" w:sz="4"/>
          <w:insideH w:val="single" w:color="D6D4CD" w:sz="4"/>
          <w:insideV w:val="single" w:color="D6D4CD" w:sz="4"/>
        </w:tblBorders>
      </w:tblPr>
      <w:tblGrid>
        <w:gridCol w:w="3600"/>
        <w:gridCol w:w="2500"/>
        <w:gridCol w:w="3260"/>
      </w:tblGrid>
      <w:tr>
        <w:trPr>
          <w:tblHeader/>
        </w:trPr>
        <w:tc>
          <w:tcPr>
            <w:tcW w:type="dxa" w:w="3600"/>
            <w:shd w:fill="EFEEE9"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What</w:t>
            </w:r>
          </w:p>
        </w:tc>
        <w:tc>
          <w:tcPr>
            <w:tcW w:type="dxa" w:w="2500"/>
            <w:shd w:fill="EFEEE9"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Audience</w:t>
            </w:r>
          </w:p>
        </w:tc>
        <w:tc>
          <w:tcPr>
            <w:tcW w:type="dxa" w:w="3260"/>
            <w:shd w:fill="EFEEE9" w:color="auto" w:val="clear"/>
            <w:tcMar>
              <w:top w:type="dxa" w:w="70"/>
              <w:left w:type="dxa" w:w="100"/>
              <w:bottom w:type="dxa" w:w="70"/>
              <w:right w:type="dxa" w:w="100"/>
            </w:tcMar>
          </w:tcPr>
          <w:p>
            <w:pPr>
              <w:spacing w:after="40" w:line="252"/>
            </w:pPr>
            <w:r>
              <w:rPr>
                <w:rFonts w:ascii="Arial" w:cs="Arial" w:eastAsia="Arial" w:hAnsi="Arial"/>
                <w:b/>
                <w:bCs/>
                <w:color w:val="1A1A1A"/>
                <w:sz w:val="18"/>
                <w:szCs w:val="18"/>
              </w:rPr>
              <w:t xml:space="preserve">When / how</w:t>
            </w:r>
          </w:p>
        </w:tc>
      </w:tr>
      <w:tr>
        <w:trPr>
          <w:cantSplit/>
        </w:trPr>
        <w:tc>
          <w:tcPr>
            <w:tcW w:type="dxa" w:w="3600"/>
            <w:tcMar>
              <w:top w:type="dxa" w:w="70"/>
              <w:left w:type="dxa" w:w="100"/>
              <w:bottom w:type="dxa" w:w="70"/>
              <w:right w:type="dxa" w:w="100"/>
            </w:tcMar>
          </w:tcPr>
          <w:p>
            <w:pPr>
              <w:spacing w:after="40" w:line="252"/>
            </w:pPr>
            <w:r>
              <w:rPr>
                <w:rFonts w:ascii="Arial" w:cs="Arial" w:eastAsia="Arial" w:hAnsi="Arial"/>
                <w:color w:val="1A1A1A"/>
                <w:sz w:val="18"/>
                <w:szCs w:val="18"/>
              </w:rPr>
              <w:t xml:space="preserve">Kickoff: goals, scope, timeline, decisions needed</w:t>
            </w:r>
          </w:p>
        </w:tc>
        <w:tc>
          <w:tcPr>
            <w:tcW w:type="dxa" w:w="2500"/>
            <w:tcMar>
              <w:top w:type="dxa" w:w="70"/>
              <w:left w:type="dxa" w:w="100"/>
              <w:bottom w:type="dxa" w:w="70"/>
              <w:right w:type="dxa" w:w="100"/>
            </w:tcMar>
          </w:tcPr>
          <w:p>
            <w:pPr>
              <w:spacing w:after="40" w:line="252"/>
            </w:pPr>
            <w:r>
              <w:rPr>
                <w:rFonts w:ascii="Arial" w:cs="Arial" w:eastAsia="Arial" w:hAnsi="Arial"/>
                <w:color w:val="1A1A1A"/>
                <w:sz w:val="18"/>
                <w:szCs w:val="18"/>
              </w:rPr>
              <w:t xml:space="preserve">Sponsor, Ops, WFM, QA, CX, IT</w:t>
            </w:r>
          </w:p>
        </w:tc>
        <w:tc>
          <w:tcPr>
            <w:tcW w:type="dxa" w:w="3260"/>
            <w:tcMar>
              <w:top w:type="dxa" w:w="70"/>
              <w:left w:type="dxa" w:w="100"/>
              <w:bottom w:type="dxa" w:w="70"/>
              <w:right w:type="dxa" w:w="100"/>
            </w:tcMar>
          </w:tcPr>
          <w:p>
            <w:pPr>
              <w:spacing w:after="40" w:line="252"/>
            </w:pPr>
            <w:r>
              <w:rPr>
                <w:rFonts w:ascii="Arial" w:cs="Arial" w:eastAsia="Arial" w:hAnsi="Arial"/>
                <w:color w:val="1A1A1A"/>
                <w:sz w:val="18"/>
                <w:szCs w:val="18"/>
              </w:rPr>
              <w:t xml:space="preserve">Week 1, 45-minute meeting + one-page charter</w:t>
            </w:r>
          </w:p>
        </w:tc>
      </w:tr>
      <w:tr>
        <w:trPr>
          <w:cantSplit/>
        </w:trPr>
        <w:tc>
          <w:tcPr>
            <w:tcW w:type="dxa" w:w="3600"/>
            <w:tcMar>
              <w:top w:type="dxa" w:w="70"/>
              <w:left w:type="dxa" w:w="100"/>
              <w:bottom w:type="dxa" w:w="70"/>
              <w:right w:type="dxa" w:w="100"/>
            </w:tcMar>
          </w:tcPr>
          <w:p>
            <w:pPr>
              <w:spacing w:after="40" w:line="252"/>
            </w:pPr>
            <w:r>
              <w:rPr>
                <w:rFonts w:ascii="Arial" w:cs="Arial" w:eastAsia="Arial" w:hAnsi="Arial"/>
                <w:color w:val="1A1A1A"/>
                <w:sz w:val="18"/>
                <w:szCs w:val="18"/>
              </w:rPr>
              <w:t xml:space="preserve">Progress, upcoming decisions, blockers, risk status (RAG)</w:t>
            </w:r>
          </w:p>
        </w:tc>
        <w:tc>
          <w:tcPr>
            <w:tcW w:type="dxa" w:w="2500"/>
            <w:tcMar>
              <w:top w:type="dxa" w:w="70"/>
              <w:left w:type="dxa" w:w="100"/>
              <w:bottom w:type="dxa" w:w="70"/>
              <w:right w:type="dxa" w:w="100"/>
            </w:tcMar>
          </w:tcPr>
          <w:p>
            <w:pPr>
              <w:spacing w:after="40" w:line="252"/>
            </w:pPr>
            <w:r>
              <w:rPr>
                <w:rFonts w:ascii="Arial" w:cs="Arial" w:eastAsia="Arial" w:hAnsi="Arial"/>
                <w:color w:val="1A1A1A"/>
                <w:sz w:val="18"/>
                <w:szCs w:val="18"/>
              </w:rPr>
              <w:t xml:space="preserve">Sponsor + core stakeholders</w:t>
            </w:r>
          </w:p>
        </w:tc>
        <w:tc>
          <w:tcPr>
            <w:tcW w:type="dxa" w:w="3260"/>
            <w:tcMar>
              <w:top w:type="dxa" w:w="70"/>
              <w:left w:type="dxa" w:w="100"/>
              <w:bottom w:type="dxa" w:w="70"/>
              <w:right w:type="dxa" w:w="100"/>
            </w:tcMar>
          </w:tcPr>
          <w:p>
            <w:pPr>
              <w:spacing w:after="40" w:line="252"/>
            </w:pPr>
            <w:r>
              <w:rPr>
                <w:rFonts w:ascii="Arial" w:cs="Arial" w:eastAsia="Arial" w:hAnsi="Arial"/>
                <w:color w:val="1A1A1A"/>
                <w:sz w:val="18"/>
                <w:szCs w:val="18"/>
              </w:rPr>
              <w:t xml:space="preserve">Weekly 15-minute check-in + short written status</w:t>
            </w:r>
          </w:p>
        </w:tc>
      </w:tr>
      <w:tr>
        <w:trPr>
          <w:cantSplit/>
        </w:trPr>
        <w:tc>
          <w:tcPr>
            <w:tcW w:type="dxa" w:w="3600"/>
            <w:tcMar>
              <w:top w:type="dxa" w:w="70"/>
              <w:left w:type="dxa" w:w="100"/>
              <w:bottom w:type="dxa" w:w="70"/>
              <w:right w:type="dxa" w:w="100"/>
            </w:tcMar>
          </w:tcPr>
          <w:p>
            <w:pPr>
              <w:spacing w:after="40" w:line="252"/>
            </w:pPr>
            <w:r>
              <w:rPr>
                <w:rFonts w:ascii="Arial" w:cs="Arial" w:eastAsia="Arial" w:hAnsi="Arial"/>
                <w:color w:val="1A1A1A"/>
                <w:sz w:val="18"/>
                <w:szCs w:val="18"/>
              </w:rPr>
              <w:t xml:space="preserve">Decision requests</w:t>
            </w:r>
          </w:p>
        </w:tc>
        <w:tc>
          <w:tcPr>
            <w:tcW w:type="dxa" w:w="2500"/>
            <w:tcMar>
              <w:top w:type="dxa" w:w="70"/>
              <w:left w:type="dxa" w:w="100"/>
              <w:bottom w:type="dxa" w:w="70"/>
              <w:right w:type="dxa" w:w="100"/>
            </w:tcMar>
          </w:tcPr>
          <w:p>
            <w:pPr>
              <w:spacing w:after="40" w:line="252"/>
            </w:pPr>
            <w:r>
              <w:rPr>
                <w:rFonts w:ascii="Arial" w:cs="Arial" w:eastAsia="Arial" w:hAnsi="Arial"/>
                <w:color w:val="1A1A1A"/>
                <w:sz w:val="18"/>
                <w:szCs w:val="18"/>
              </w:rPr>
              <w:t xml:space="preserve">Named decision maker</w:t>
            </w:r>
          </w:p>
        </w:tc>
        <w:tc>
          <w:tcPr>
            <w:tcW w:type="dxa" w:w="3260"/>
            <w:tcMar>
              <w:top w:type="dxa" w:w="70"/>
              <w:left w:type="dxa" w:w="100"/>
              <w:bottom w:type="dxa" w:w="70"/>
              <w:right w:type="dxa" w:w="100"/>
            </w:tcMar>
          </w:tcPr>
          <w:p>
            <w:pPr>
              <w:spacing w:after="40" w:line="252"/>
            </w:pPr>
            <w:r>
              <w:rPr>
                <w:rFonts w:ascii="Arial" w:cs="Arial" w:eastAsia="Arial" w:hAnsi="Arial"/>
                <w:color w:val="1A1A1A"/>
                <w:sz w:val="18"/>
                <w:szCs w:val="18"/>
              </w:rPr>
              <w:t xml:space="preserve">As needed, in writing with options and a recommendation; tracked in the decision log</w:t>
            </w:r>
          </w:p>
        </w:tc>
      </w:tr>
      <w:tr>
        <w:trPr>
          <w:cantSplit/>
        </w:trPr>
        <w:tc>
          <w:tcPr>
            <w:tcW w:type="dxa" w:w="3600"/>
            <w:tcMar>
              <w:top w:type="dxa" w:w="70"/>
              <w:left w:type="dxa" w:w="100"/>
              <w:bottom w:type="dxa" w:w="70"/>
              <w:right w:type="dxa" w:w="100"/>
            </w:tcMar>
          </w:tcPr>
          <w:p>
            <w:pPr>
              <w:spacing w:after="40" w:line="252"/>
            </w:pPr>
            <w:r>
              <w:rPr>
                <w:rFonts w:ascii="Arial" w:cs="Arial" w:eastAsia="Arial" w:hAnsi="Arial"/>
                <w:color w:val="1A1A1A"/>
                <w:sz w:val="18"/>
                <w:szCs w:val="18"/>
              </w:rPr>
              <w:t xml:space="preserve">Blockers or red risks</w:t>
            </w:r>
          </w:p>
        </w:tc>
        <w:tc>
          <w:tcPr>
            <w:tcW w:type="dxa" w:w="2500"/>
            <w:tcMar>
              <w:top w:type="dxa" w:w="70"/>
              <w:left w:type="dxa" w:w="100"/>
              <w:bottom w:type="dxa" w:w="70"/>
              <w:right w:type="dxa" w:w="100"/>
            </w:tcMar>
          </w:tcPr>
          <w:p>
            <w:pPr>
              <w:spacing w:after="40" w:line="252"/>
            </w:pPr>
            <w:r>
              <w:rPr>
                <w:rFonts w:ascii="Arial" w:cs="Arial" w:eastAsia="Arial" w:hAnsi="Arial"/>
                <w:color w:val="1A1A1A"/>
                <w:sz w:val="18"/>
                <w:szCs w:val="18"/>
              </w:rPr>
              <w:t xml:space="preserve">Sponsor</w:t>
            </w:r>
          </w:p>
        </w:tc>
        <w:tc>
          <w:tcPr>
            <w:tcW w:type="dxa" w:w="3260"/>
            <w:tcMar>
              <w:top w:type="dxa" w:w="70"/>
              <w:left w:type="dxa" w:w="100"/>
              <w:bottom w:type="dxa" w:w="70"/>
              <w:right w:type="dxa" w:w="100"/>
            </w:tcMar>
          </w:tcPr>
          <w:p>
            <w:pPr>
              <w:spacing w:after="40" w:line="252"/>
            </w:pPr>
            <w:r>
              <w:rPr>
                <w:rFonts w:ascii="Arial" w:cs="Arial" w:eastAsia="Arial" w:hAnsi="Arial"/>
                <w:color w:val="1A1A1A"/>
                <w:sz w:val="18"/>
                <w:szCs w:val="18"/>
              </w:rPr>
              <w:t xml:space="preserve">Within 24 hours, with impact and proposed fix (no waiting for the weekly)</w:t>
            </w:r>
          </w:p>
        </w:tc>
      </w:tr>
      <w:tr>
        <w:trPr>
          <w:cantSplit/>
        </w:trPr>
        <w:tc>
          <w:tcPr>
            <w:tcW w:type="dxa" w:w="3600"/>
            <w:tcMar>
              <w:top w:type="dxa" w:w="70"/>
              <w:left w:type="dxa" w:w="100"/>
              <w:bottom w:type="dxa" w:w="70"/>
              <w:right w:type="dxa" w:w="100"/>
            </w:tcMar>
          </w:tcPr>
          <w:p>
            <w:pPr>
              <w:spacing w:after="40" w:line="252"/>
            </w:pPr>
            <w:r>
              <w:rPr>
                <w:rFonts w:ascii="Arial" w:cs="Arial" w:eastAsia="Arial" w:hAnsi="Arial"/>
                <w:color w:val="1A1A1A"/>
                <w:sz w:val="18"/>
                <w:szCs w:val="18"/>
              </w:rPr>
              <w:t xml:space="preserve">Demo of working build</w:t>
            </w:r>
          </w:p>
        </w:tc>
        <w:tc>
          <w:tcPr>
            <w:tcW w:type="dxa" w:w="2500"/>
            <w:tcMar>
              <w:top w:type="dxa" w:w="70"/>
              <w:left w:type="dxa" w:w="100"/>
              <w:bottom w:type="dxa" w:w="70"/>
              <w:right w:type="dxa" w:w="100"/>
            </w:tcMar>
          </w:tcPr>
          <w:p>
            <w:pPr>
              <w:spacing w:after="40" w:line="252"/>
            </w:pPr>
            <w:r>
              <w:rPr>
                <w:rFonts w:ascii="Arial" w:cs="Arial" w:eastAsia="Arial" w:hAnsi="Arial"/>
                <w:color w:val="1A1A1A"/>
                <w:sz w:val="18"/>
                <w:szCs w:val="18"/>
              </w:rPr>
              <w:t xml:space="preserve">Sponsor + UAT testers</w:t>
            </w:r>
          </w:p>
        </w:tc>
        <w:tc>
          <w:tcPr>
            <w:tcW w:type="dxa" w:w="3260"/>
            <w:tcMar>
              <w:top w:type="dxa" w:w="70"/>
              <w:left w:type="dxa" w:w="100"/>
              <w:bottom w:type="dxa" w:w="70"/>
              <w:right w:type="dxa" w:w="100"/>
            </w:tcMar>
          </w:tcPr>
          <w:p>
            <w:pPr>
              <w:spacing w:after="40" w:line="252"/>
            </w:pPr>
            <w:r>
              <w:rPr>
                <w:rFonts w:ascii="Arial" w:cs="Arial" w:eastAsia="Arial" w:hAnsi="Arial"/>
                <w:color w:val="1A1A1A"/>
                <w:sz w:val="18"/>
                <w:szCs w:val="18"/>
              </w:rPr>
              <w:t xml:space="preserve">End of weeks 5 and 7</w:t>
            </w:r>
          </w:p>
        </w:tc>
      </w:tr>
      <w:tr>
        <w:trPr>
          <w:cantSplit/>
        </w:trPr>
        <w:tc>
          <w:tcPr>
            <w:tcW w:type="dxa" w:w="3600"/>
            <w:tcMar>
              <w:top w:type="dxa" w:w="70"/>
              <w:left w:type="dxa" w:w="100"/>
              <w:bottom w:type="dxa" w:w="70"/>
              <w:right w:type="dxa" w:w="100"/>
            </w:tcMar>
          </w:tcPr>
          <w:p>
            <w:pPr>
              <w:spacing w:after="40" w:line="252"/>
            </w:pPr>
            <w:r>
              <w:rPr>
                <w:rFonts w:ascii="Arial" w:cs="Arial" w:eastAsia="Arial" w:hAnsi="Arial"/>
                <w:color w:val="1A1A1A"/>
                <w:sz w:val="18"/>
                <w:szCs w:val="18"/>
              </w:rPr>
              <w:t xml:space="preserve">Launch note and training</w:t>
            </w:r>
          </w:p>
        </w:tc>
        <w:tc>
          <w:tcPr>
            <w:tcW w:type="dxa" w:w="2500"/>
            <w:tcMar>
              <w:top w:type="dxa" w:w="70"/>
              <w:left w:type="dxa" w:w="100"/>
              <w:bottom w:type="dxa" w:w="70"/>
              <w:right w:type="dxa" w:w="100"/>
            </w:tcMar>
          </w:tcPr>
          <w:p>
            <w:pPr>
              <w:spacing w:after="40" w:line="252"/>
            </w:pPr>
            <w:r>
              <w:rPr>
                <w:rFonts w:ascii="Arial" w:cs="Arial" w:eastAsia="Arial" w:hAnsi="Arial"/>
                <w:color w:val="1A1A1A"/>
                <w:sz w:val="18"/>
                <w:szCs w:val="18"/>
              </w:rPr>
              <w:t xml:space="preserve">All users</w:t>
            </w:r>
          </w:p>
        </w:tc>
        <w:tc>
          <w:tcPr>
            <w:tcW w:type="dxa" w:w="3260"/>
            <w:tcMar>
              <w:top w:type="dxa" w:w="70"/>
              <w:left w:type="dxa" w:w="100"/>
              <w:bottom w:type="dxa" w:w="70"/>
              <w:right w:type="dxa" w:w="100"/>
            </w:tcMar>
          </w:tcPr>
          <w:p>
            <w:pPr>
              <w:spacing w:after="40" w:line="252"/>
            </w:pPr>
            <w:r>
              <w:rPr>
                <w:rFonts w:ascii="Arial" w:cs="Arial" w:eastAsia="Arial" w:hAnsi="Arial"/>
                <w:color w:val="1A1A1A"/>
                <w:sz w:val="18"/>
                <w:szCs w:val="18"/>
              </w:rPr>
              <w:t xml:space="preserve">Week 9</w:t>
            </w:r>
          </w:p>
        </w:tc>
      </w:tr>
      <w:tr>
        <w:trPr>
          <w:cantSplit/>
        </w:trPr>
        <w:tc>
          <w:tcPr>
            <w:tcW w:type="dxa" w:w="3600"/>
            <w:tcMar>
              <w:top w:type="dxa" w:w="70"/>
              <w:left w:type="dxa" w:w="100"/>
              <w:bottom w:type="dxa" w:w="70"/>
              <w:right w:type="dxa" w:w="100"/>
            </w:tcMar>
          </w:tcPr>
          <w:p>
            <w:pPr>
              <w:spacing w:after="40" w:line="252"/>
            </w:pPr>
            <w:r>
              <w:rPr>
                <w:rFonts w:ascii="Arial" w:cs="Arial" w:eastAsia="Arial" w:hAnsi="Arial"/>
                <w:color w:val="1A1A1A"/>
                <w:sz w:val="18"/>
                <w:szCs w:val="18"/>
              </w:rPr>
              <w:t xml:space="preserve">Post-launch: release notes, quarterly review</w:t>
            </w:r>
          </w:p>
        </w:tc>
        <w:tc>
          <w:tcPr>
            <w:tcW w:type="dxa" w:w="2500"/>
            <w:tcMar>
              <w:top w:type="dxa" w:w="70"/>
              <w:left w:type="dxa" w:w="100"/>
              <w:bottom w:type="dxa" w:w="70"/>
              <w:right w:type="dxa" w:w="100"/>
            </w:tcMar>
          </w:tcPr>
          <w:p>
            <w:pPr>
              <w:spacing w:after="40" w:line="252"/>
            </w:pPr>
            <w:r>
              <w:rPr>
                <w:rFonts w:ascii="Arial" w:cs="Arial" w:eastAsia="Arial" w:hAnsi="Arial"/>
                <w:color w:val="1A1A1A"/>
                <w:sz w:val="18"/>
                <w:szCs w:val="18"/>
              </w:rPr>
              <w:t xml:space="preserve">Users + sponsor</w:t>
            </w:r>
          </w:p>
        </w:tc>
        <w:tc>
          <w:tcPr>
            <w:tcW w:type="dxa" w:w="3260"/>
            <w:tcMar>
              <w:top w:type="dxa" w:w="70"/>
              <w:left w:type="dxa" w:w="100"/>
              <w:bottom w:type="dxa" w:w="70"/>
              <w:right w:type="dxa" w:w="100"/>
            </w:tcMar>
          </w:tcPr>
          <w:p>
            <w:pPr>
              <w:spacing w:after="40" w:line="252"/>
            </w:pPr>
            <w:r>
              <w:rPr>
                <w:rFonts w:ascii="Arial" w:cs="Arial" w:eastAsia="Arial" w:hAnsi="Arial"/>
                <w:color w:val="1A1A1A"/>
                <w:sz w:val="18"/>
                <w:szCs w:val="18"/>
              </w:rPr>
              <w:t xml:space="preserve">Each change; quarterly</w:t>
            </w:r>
          </w:p>
        </w:tc>
      </w:tr>
    </w:tbl>
    <w:p>
      <w:pPr>
        <w:pStyle w:val="Heading1"/>
        <w:pBdr>
          <w:bottom w:val="single" w:color="D6D4CD" w:sz="6" w:space="4"/>
        </w:pBdr>
        <w:spacing w:after="120" w:before="280"/>
      </w:pPr>
      <w:r>
        <w:rPr>
          <w:rFonts w:ascii="Arial" w:cs="Arial" w:eastAsia="Arial" w:hAnsi="Arial"/>
          <w:b/>
          <w:bCs/>
          <w:color w:val="1A1A1A"/>
          <w:sz w:val="28"/>
          <w:szCs w:val="28"/>
        </w:rPr>
        <w:t xml:space="preserve">PM-3 · Stakeholder scenario: the executive who wants 25 metrics</w:t>
      </w:r>
    </w:p>
    <w:p>
      <w:pPr>
        <w:spacing w:after="120" w:before="0" w:line="276"/>
      </w:pPr>
      <w:r>
        <w:rPr>
          <w:rFonts w:ascii="Arial" w:cs="Arial" w:eastAsia="Arial" w:hAnsi="Arial"/>
          <w:b/>
          <w:bCs/>
          <w:color w:val="1A1A1A"/>
          <w:sz w:val="20"/>
          <w:szCs w:val="20"/>
        </w:rPr>
        <w:t xml:space="preserve">Situation.</w:t>
      </w:r>
      <w:r>
        <w:rPr>
          <w:rFonts w:ascii="Arial" w:cs="Arial" w:eastAsia="Arial" w:hAnsi="Arial"/>
          <w:color w:val="1A1A1A"/>
          <w:sz w:val="20"/>
          <w:szCs w:val="20"/>
        </w:rPr>
        <w:t xml:space="preserve"> An executive asks for a dashboard with 25 metrics. My analysis suggests a smaller set drives decisions. My goal is a product the executive uses and trusts, not to win the argument.</w:t>
      </w:r>
    </w:p>
    <w:p>
      <w:pPr>
        <w:pStyle w:val="Heading2"/>
        <w:spacing w:after="80" w:before="200"/>
      </w:pPr>
      <w:r>
        <w:rPr>
          <w:rFonts w:ascii="Arial" w:cs="Arial" w:eastAsia="Arial" w:hAnsi="Arial"/>
          <w:b/>
          <w:bCs/>
          <w:color w:val="1A1A1A"/>
          <w:sz w:val="23"/>
          <w:szCs w:val="23"/>
        </w:rPr>
        <w:t xml:space="preserve">1. Start with their need, not the list</w:t>
      </w:r>
    </w:p>
    <w:p>
      <w:pPr>
        <w:spacing w:after="120" w:before="0" w:line="276"/>
      </w:pPr>
      <w:r>
        <w:rPr>
          <w:rFonts w:ascii="Arial" w:cs="Arial" w:eastAsia="Arial" w:hAnsi="Arial"/>
          <w:color w:val="1A1A1A"/>
          <w:sz w:val="20"/>
          <w:szCs w:val="20"/>
        </w:rPr>
        <w:t xml:space="preserve">I would set up a 30-minute conversation and ask what decisions they make each month, what questions they get from their own leadership, and what went wrong last time they were caught off guard. Usually 25 metrics are a proxy for "I don't want to be surprised." I would take the list seriously: every metric on it reflects a concern, and I want to understand each one.</w:t>
      </w:r>
    </w:p>
    <w:p>
      <w:pPr>
        <w:pStyle w:val="Heading2"/>
        <w:spacing w:after="80" w:before="200"/>
      </w:pPr>
      <w:r>
        <w:rPr>
          <w:rFonts w:ascii="Arial" w:cs="Arial" w:eastAsia="Arial" w:hAnsi="Arial"/>
          <w:b/>
          <w:bCs/>
          <w:color w:val="1A1A1A"/>
          <w:sz w:val="23"/>
          <w:szCs w:val="23"/>
        </w:rPr>
        <w:t xml:space="preserve">2. Validate with evidence</w:t>
      </w:r>
    </w:p>
    <w:p>
      <w:pPr>
        <w:spacing w:after="120" w:before="0" w:line="276"/>
      </w:pPr>
      <w:r>
        <w:rPr>
          <w:rFonts w:ascii="Arial" w:cs="Arial" w:eastAsia="Arial" w:hAnsi="Arial"/>
          <w:color w:val="1A1A1A"/>
          <w:sz w:val="20"/>
          <w:szCs w:val="20"/>
        </w:rPr>
        <w:t xml:space="preserve">I would map each of the 25 metrics to a decision or question, and check three things: (a) does it change, or is it flat? (b) does it duplicate another metric? (c) does anyone act on it? In this dataset, for example, the any-reason repeat rate mostly duplicates volume, and average wait alone hid the May failure. Showing that kind of concrete example is more persuasive than a general principle.</w:t>
      </w:r>
    </w:p>
    <w:p>
      <w:pPr>
        <w:pStyle w:val="Heading2"/>
        <w:spacing w:after="80" w:before="200"/>
      </w:pPr>
      <w:r>
        <w:rPr>
          <w:rFonts w:ascii="Arial" w:cs="Arial" w:eastAsia="Arial" w:hAnsi="Arial"/>
          <w:b/>
          <w:bCs/>
          <w:color w:val="1A1A1A"/>
          <w:sz w:val="23"/>
          <w:szCs w:val="23"/>
        </w:rPr>
        <w:t xml:space="preserve">3. Recommend a layered approach, not a rejection</w:t>
      </w:r>
    </w:p>
    <w:p>
      <w:pPr>
        <w:pStyle w:val="ListParagraph"/>
        <w:numPr>
          <w:ilvl w:val="0"/>
          <w:numId w:val="2"/>
        </w:numPr>
        <w:spacing w:after="60" w:line="264"/>
      </w:pPr>
      <w:r>
        <w:rPr>
          <w:rFonts w:ascii="Arial" w:cs="Arial" w:eastAsia="Arial" w:hAnsi="Arial"/>
          <w:b/>
          <w:bCs/>
          <w:color w:val="1A1A1A"/>
          <w:sz w:val="20"/>
          <w:szCs w:val="20"/>
        </w:rPr>
        <w:t xml:space="preserve">Page 1 (executive):</w:t>
      </w:r>
      <w:r>
        <w:rPr>
          <w:rFonts w:ascii="Arial" w:cs="Arial" w:eastAsia="Arial" w:hAnsi="Arial"/>
          <w:color w:val="1A1A1A"/>
          <w:sz w:val="20"/>
          <w:szCs w:val="20"/>
        </w:rPr>
        <w:t xml:space="preserve"> 6–8 KPIs tied to decisions, each with target, trend and status, plus an automatic "what needs attention" list. This answers "am I going to be surprised?"</w:t>
      </w:r>
    </w:p>
    <w:p>
      <w:pPr>
        <w:pStyle w:val="ListParagraph"/>
        <w:numPr>
          <w:ilvl w:val="0"/>
          <w:numId w:val="2"/>
        </w:numPr>
        <w:spacing w:after="60" w:line="264"/>
      </w:pPr>
      <w:r>
        <w:rPr>
          <w:rFonts w:ascii="Arial" w:cs="Arial" w:eastAsia="Arial" w:hAnsi="Arial"/>
          <w:b/>
          <w:bCs/>
          <w:color w:val="1A1A1A"/>
          <w:sz w:val="20"/>
          <w:szCs w:val="20"/>
        </w:rPr>
        <w:t xml:space="preserve">Page 2 (diagnostic):</w:t>
      </w:r>
      <w:r>
        <w:rPr>
          <w:rFonts w:ascii="Arial" w:cs="Arial" w:eastAsia="Arial" w:hAnsi="Arial"/>
          <w:color w:val="1A1A1A"/>
          <w:sz w:val="20"/>
          <w:szCs w:val="20"/>
        </w:rPr>
        <w:t xml:space="preserve"> the drill-down and driver views, where many of the remaining metrics live as breakdowns rather than tiles.</w:t>
      </w:r>
    </w:p>
    <w:p>
      <w:pPr>
        <w:pStyle w:val="ListParagraph"/>
        <w:numPr>
          <w:ilvl w:val="0"/>
          <w:numId w:val="2"/>
        </w:numPr>
        <w:spacing w:after="60" w:line="264"/>
      </w:pPr>
      <w:r>
        <w:rPr>
          <w:rFonts w:ascii="Arial" w:cs="Arial" w:eastAsia="Arial" w:hAnsi="Arial"/>
          <w:b/>
          <w:bCs/>
          <w:color w:val="1A1A1A"/>
          <w:sz w:val="20"/>
          <w:szCs w:val="20"/>
        </w:rPr>
        <w:t xml:space="preserve">Appendix / data table:</w:t>
      </w:r>
      <w:r>
        <w:rPr>
          <w:rFonts w:ascii="Arial" w:cs="Arial" w:eastAsia="Arial" w:hAnsi="Arial"/>
          <w:color w:val="1A1A1A"/>
          <w:sz w:val="20"/>
          <w:szCs w:val="20"/>
        </w:rPr>
        <w:t xml:space="preserve"> all 25 metrics, available for anyone who wants them, without crowding the decision view.</w:t>
      </w:r>
    </w:p>
    <w:p>
      <w:pPr>
        <w:spacing w:after="120" w:before="0" w:line="276"/>
      </w:pPr>
      <w:r>
        <w:rPr>
          <w:rFonts w:ascii="Arial" w:cs="Arial" w:eastAsia="Arial" w:hAnsi="Arial"/>
          <w:color w:val="1A1A1A"/>
          <w:sz w:val="20"/>
          <w:szCs w:val="20"/>
        </w:rPr>
        <w:t xml:space="preserve">Nothing they asked for disappears; it moves to the layer where it is useful. I would show a quick mock-up of both versions side by side so the trade-off is visible.</w:t>
      </w:r>
    </w:p>
    <w:p>
      <w:pPr>
        <w:pStyle w:val="Heading2"/>
        <w:spacing w:after="80" w:before="200"/>
      </w:pPr>
      <w:r>
        <w:rPr>
          <w:rFonts w:ascii="Arial" w:cs="Arial" w:eastAsia="Arial" w:hAnsi="Arial"/>
          <w:b/>
          <w:bCs/>
          <w:color w:val="1A1A1A"/>
          <w:sz w:val="23"/>
          <w:szCs w:val="23"/>
        </w:rPr>
        <w:t xml:space="preserve">4. Make it reversible and measurable</w:t>
      </w:r>
    </w:p>
    <w:p>
      <w:pPr>
        <w:spacing w:after="120" w:before="0" w:line="276"/>
      </w:pPr>
      <w:r>
        <w:rPr>
          <w:rFonts w:ascii="Arial" w:cs="Arial" w:eastAsia="Arial" w:hAnsi="Arial"/>
          <w:color w:val="1A1A1A"/>
          <w:sz w:val="20"/>
          <w:szCs w:val="20"/>
        </w:rPr>
        <w:t xml:space="preserve">I would propose a 2-cycle trial of the focused version, with an agreement to promote any metric back to page 1 if it was needed for a decision during the trial. I would track which views get used. After two cycles we review together, so the decision rests on their experience rather than my opinion.</w:t>
      </w:r>
    </w:p>
    <w:p>
      <w:pPr>
        <w:pStyle w:val="Heading2"/>
        <w:spacing w:after="80" w:before="200"/>
      </w:pPr>
      <w:r>
        <w:rPr>
          <w:rFonts w:ascii="Arial" w:cs="Arial" w:eastAsia="Arial" w:hAnsi="Arial"/>
          <w:b/>
          <w:bCs/>
          <w:color w:val="1A1A1A"/>
          <w:sz w:val="23"/>
          <w:szCs w:val="23"/>
        </w:rPr>
        <w:t xml:space="preserve">5. Maintain the relationship</w:t>
      </w:r>
    </w:p>
    <w:p>
      <w:pPr>
        <w:spacing w:after="120" w:before="0" w:line="276"/>
      </w:pPr>
      <w:r>
        <w:rPr>
          <w:rFonts w:ascii="Arial" w:cs="Arial" w:eastAsia="Arial" w:hAnsi="Arial"/>
          <w:color w:val="1A1A1A"/>
          <w:sz w:val="20"/>
          <w:szCs w:val="20"/>
        </w:rPr>
        <w:t xml:space="preserve">I would acknowledge their experience: they often know about issues the data does not show. I would follow up in writing with what we agreed, and credit their input when the dashboard catches the next problem early. If they still want all 25 on page one after the trial, it is their product. I would build it, keep the attention list at the top, and document my recommendation. Disagreeing respectfully and then committing to the decision keeps trust for the next conversation.</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5955"/>
        <w:sz w:val="16"/>
        <w:szCs w:val="16"/>
      </w:rPr>
      <w:t xml:space="preserve">Delivery Plan &amp; Stakeholder Approach  ·  synthetic assessment data  ·  page </w:t>
    </w:r>
    <w:r>
      <w:rPr>
        <w:rFonts w:ascii="Arial" w:cs="Arial" w:eastAsia="Arial" w:hAnsi="Arial"/>
        <w:color w:val="5A59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Delivery Plan &amp; Stakeholder Approach</dc:title>
  <dc:creator>Piyush</dc:creator>
  <cp:lastModifiedBy>Un-named</cp:lastModifiedBy>
  <cp:revision>1</cp:revision>
  <dcterms:created xsi:type="dcterms:W3CDTF">2026-10-21T01:17:45.309Z</dcterms:created>
  <dcterms:modified xsi:type="dcterms:W3CDTF">2026-10-21T01:17:45.309Z</dcterms:modified>
</cp:coreProperties>
</file>

<file path=docProps/custom.xml><?xml version="1.0" encoding="utf-8"?>
<Properties xmlns="http://schemas.openxmlformats.org/officeDocument/2006/custom-properties" xmlns:vt="http://schemas.openxmlformats.org/officeDocument/2006/docPropsVTypes"/>
</file>