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meeny1pur9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DEEP LEARNING VIDEO/IMAGE COLORIZATION Black-and-White to Color using CNN Regression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x3h4sakr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deep learning pipeline that colorizes grayscale video frames using a regression-based CNN model. It extracts frames from the DAVIS dataset, trains a convolutional encoder-decoder model, and reconstructs colorized versions of the input frames to generate video output.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entire model is trained on the grayscale-to-color transformation using pixel-wise regression (not classification), resulting in fairly high colorization quality (~90% accuracy). We evaluated the output quality using PSNR (Peak Signal-to-Noise Ratio), although alternatives like SSIM were considered.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d47nkgdqh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 FEATURES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Custom-built CNN for image-to-image translation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Input: Grayscale images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RGB colorized images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on 100+ samples per video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Nadam optimizer and MSE loss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video reconstruction supported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PSNR-based evaluation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real-time frontend possible (via Gradio)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ky3gphujn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📁 FILE STRUCTURE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colorization-project/ │ ├— notebooks/ │ └— colorization.ipynb ← Main training &amp; evaluation code │ ├— model/ │ └— colorization_model.py ← (Optional) Model structure code │ ├— dataset/ │ └— sample/ ← Sample input-output images │ └— requirements.txt ← Required libraries └— README.txt ← This file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ev3x2n5oj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👤 CONTRIBUTORS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Divyang Mehta — Core Implementation, Model Coding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Piyush Deshmukh — Architecture, Optimization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Shashwat Sethi — Dataset Preparation, Validation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Aditya Kumar — Video Processing, Documentation &amp; Output Generation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Piyush Kumar Tiwari — Project Structuring, Theory, Architecture &amp; Deployment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u3j47ikkh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METHODOLOGY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 Extraction: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DAVIS dataset using OpenCV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Saved as 128x128 RGB and grayscale PNGs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Architecture: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Encoder-decoder CNN built in TensorFlow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encoding layers, bottleneck, and 3 decoding layers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activation: tanh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Loss: Mean Squared Error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PSNR used for performance measurement instead of SSIM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PSNR is easier to compute and interpret during training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SSIM, while perceptually better, is more computationally complex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Colorized video frames stitched back into video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saved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.mp4</w:t>
      </w:r>
      <w:r w:rsidDel="00000000" w:rsidR="00000000" w:rsidRPr="00000000">
        <w:rPr>
          <w:rtl w:val="0"/>
        </w:rPr>
        <w:t xml:space="preserve"> using OpenCV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kxc7e0mhs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HOW TO RUN (IN COLAB)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following notebook in Google Colab: https://colab.research.google.com/drive/1vsVcrwXWzWIKW22luAXJooUrdNYxsP62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to authenticate with Kaggle to access the DAVIS dataset.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cells sequentially.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sf7c91tze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📋 REQUIREMENTS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TensorFlow &gt;= 2.8.0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tqdm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using: pip install -r requirements.txt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55pztfa15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💬 FUTURE IMPROVEMENTS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user-friendly web frontend (e.g. Gradio)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skip connections in the model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U-Net or GAN-based approaches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SSIM as loss or evaluation metric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mvyjh3z04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📄 LICENSE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educational and non-commercial use only. Attribution required.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