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Services Agreement</w:t>
      </w:r>
    </w:p>
    <w:p>
      <w:r>
        <w:t>This Master Services Agreement (the “Agreement”) is made between Bluefin Data Services LLC (the “Provider”) and Cedar Ridge Logistics FZE (the “Client”). All names in this document are fictional and used for demonstration only.</w:t>
      </w:r>
    </w:p>
    <w:p>
      <w:pPr>
        <w:pStyle w:val="Heading1"/>
      </w:pPr>
      <w:r>
        <w:t>1. Definitions</w:t>
      </w:r>
    </w:p>
    <w:p>
      <w:r>
        <w:t>1.1 “Effective Date” means 1 March 2026.</w:t>
      </w:r>
    </w:p>
    <w:p>
      <w:r>
        <w:t>1.2 “Business Day” means a day other than a Friday, Saturday or public holiday in the United Arab Emirates.</w:t>
      </w:r>
    </w:p>
    <w:p>
      <w:pPr>
        <w:pStyle w:val="Heading1"/>
      </w:pPr>
      <w:r>
        <w:t>2. Services</w:t>
      </w:r>
    </w:p>
    <w:p>
      <w:r>
        <w:t>2.1 The Provider shall host, operate and support the Client’s shipment-tracking platform, including daily backups and security patching.</w:t>
      </w:r>
    </w:p>
    <w:p>
      <w:r>
        <w:t>2.2 The Provider may not subcontract any part of the Services without the Client’s prior written consent.</w:t>
      </w:r>
    </w:p>
    <w:p>
      <w:pPr>
        <w:pStyle w:val="Heading1"/>
      </w:pPr>
      <w:r>
        <w:t>3. Term and Renewal</w:t>
      </w:r>
    </w:p>
    <w:p>
      <w:r>
        <w:t>3.1 The initial term is twenty-four (24) months starting on the Effective Date.</w:t>
      </w:r>
    </w:p>
    <w:p>
      <w:r>
        <w:t>3.2 After the initial term, this Agreement renews automatically for successive periods of twelve (12) months unless either party gives notice of non-renewal at least ninety (90) days before the end of the current term.</w:t>
      </w:r>
    </w:p>
    <w:p>
      <w:pPr>
        <w:pStyle w:val="Heading1"/>
      </w:pPr>
      <w:r>
        <w:t>4. Fees and Payment</w:t>
      </w:r>
    </w:p>
    <w:p>
      <w:r>
        <w:t>4.1 The Client shall pay a monthly service fee of AED 18,750, invoiced monthly in advance.</w:t>
      </w:r>
    </w:p>
    <w:p>
      <w:r>
        <w:t>4.2 Each invoice is payable within thirty (30) days of the invoice date.</w:t>
      </w:r>
    </w:p>
    <w:p>
      <w:r>
        <w:t>4.3 Overdue amounts accrue interest at 1.5% per month until paid.</w:t>
      </w:r>
    </w:p>
    <w:p>
      <w:pPr>
        <w:pStyle w:val="Heading1"/>
      </w:pPr>
      <w:r>
        <w:t>5. Service Levels</w:t>
      </w:r>
    </w:p>
    <w:p>
      <w:r>
        <w:t>5.1 The Provider shall meet the following service levels:</w:t>
      </w:r>
    </w:p>
    <w:tbl>
      <w:tblPr>
        <w:tblStyle w:val="TableGrid"/>
        <w:tblW w:type="auto" w:w="0"/>
        <w:tblLook w:firstColumn="1" w:firstRow="1" w:lastColumn="0" w:lastRow="0" w:noHBand="0" w:noVBand="1" w:val="04A0"/>
      </w:tblPr>
      <w:tblGrid>
        <w:gridCol w:w="4320"/>
        <w:gridCol w:w="4320"/>
      </w:tblGrid>
      <w:tr>
        <w:tc>
          <w:tcPr>
            <w:tcW w:type="dxa" w:w="4320"/>
          </w:tcPr>
          <w:p>
            <w:r>
              <w:t>Service level</w:t>
            </w:r>
          </w:p>
        </w:tc>
        <w:tc>
          <w:tcPr>
            <w:tcW w:type="dxa" w:w="4320"/>
          </w:tcPr>
          <w:p>
            <w:r>
              <w:t>Target</w:t>
            </w:r>
          </w:p>
        </w:tc>
      </w:tr>
      <w:tr>
        <w:tc>
          <w:tcPr>
            <w:tcW w:type="dxa" w:w="4320"/>
          </w:tcPr>
          <w:p>
            <w:r>
              <w:t>Platform availability</w:t>
            </w:r>
          </w:p>
        </w:tc>
        <w:tc>
          <w:tcPr>
            <w:tcW w:type="dxa" w:w="4320"/>
          </w:tcPr>
          <w:p>
            <w:r>
              <w:t>99.5% in each calendar month</w:t>
            </w:r>
          </w:p>
        </w:tc>
      </w:tr>
      <w:tr>
        <w:tc>
          <w:tcPr>
            <w:tcW w:type="dxa" w:w="4320"/>
          </w:tcPr>
          <w:p>
            <w:r>
              <w:t>Response to critical incidents</w:t>
            </w:r>
          </w:p>
        </w:tc>
        <w:tc>
          <w:tcPr>
            <w:tcW w:type="dxa" w:w="4320"/>
          </w:tcPr>
          <w:p>
            <w:r>
              <w:t>within 4 hours, at any time</w:t>
            </w:r>
          </w:p>
        </w:tc>
      </w:tr>
      <w:tr>
        <w:tc>
          <w:tcPr>
            <w:tcW w:type="dxa" w:w="4320"/>
          </w:tcPr>
          <w:p>
            <w:r>
              <w:t>Response to high-priority incidents</w:t>
            </w:r>
          </w:p>
        </w:tc>
        <w:tc>
          <w:tcPr>
            <w:tcW w:type="dxa" w:w="4320"/>
          </w:tcPr>
          <w:p>
            <w:r>
              <w:t>within 8 Business Hours</w:t>
            </w:r>
          </w:p>
        </w:tc>
      </w:tr>
    </w:tbl>
    <w:p>
      <w:r>
        <w:t>5.2 For each 0.5% by which monthly availability falls below the target, the Client receives a service credit of 5% of that month’s fee, capped at 20% of the monthly fee.</w:t>
      </w:r>
    </w:p>
    <w:p>
      <w:pPr>
        <w:pStyle w:val="Heading1"/>
      </w:pPr>
      <w:r>
        <w:t>6. Confidentiality</w:t>
      </w:r>
    </w:p>
    <w:p>
      <w:r>
        <w:t>6.1 Each party shall keep the other party’s Confidential Information secret during this Agreement and for five (5) years after it ends.</w:t>
      </w:r>
    </w:p>
    <w:p>
      <w:pPr>
        <w:pStyle w:val="Heading1"/>
      </w:pPr>
      <w:r>
        <w:t>7. Data Protection</w:t>
      </w:r>
    </w:p>
    <w:p>
      <w:r>
        <w:t>7.1 The Provider shall store all Client data in data centres located in the United Arab Emirates.</w:t>
      </w:r>
    </w:p>
    <w:p>
      <w:r>
        <w:t>7.2 The Provider shall notify the Client of any personal data breach within 72 hours of becoming aware of it.</w:t>
      </w:r>
    </w:p>
    <w:p>
      <w:pPr>
        <w:pStyle w:val="Heading1"/>
      </w:pPr>
      <w:r>
        <w:t>8. Limitation of Liability</w:t>
      </w:r>
    </w:p>
    <w:p>
      <w:r>
        <w:t>8.1 Each party’s total liability under this Agreement is limited to the fees paid by the Client in the twelve (12) months before the event giving rise to the claim.</w:t>
      </w:r>
    </w:p>
    <w:p>
      <w:r>
        <w:t>8.2 The limit in clause 8.1 does not apply to breach of confidentiality, fraud, or death or personal injury caused by negligence.</w:t>
      </w:r>
    </w:p>
    <w:p>
      <w:r>
        <w:t>8.3 Neither party is liable for indirect or consequential loss, including loss of profit.</w:t>
      </w:r>
    </w:p>
    <w:p>
      <w:pPr>
        <w:pStyle w:val="Heading1"/>
      </w:pPr>
      <w:r>
        <w:t>9. Termination</w:t>
      </w:r>
    </w:p>
    <w:p>
      <w:r>
        <w:t>9.1 After the first twelve (12) months, either party may terminate this Agreement for convenience by giving sixty (60) days’ written notice.</w:t>
      </w:r>
    </w:p>
    <w:p>
      <w:r>
        <w:t>9.2 Either party may terminate this Agreement if the other party commits a material breach and fails to remedy it within thirty (30) days of being notified of it.</w:t>
      </w:r>
    </w:p>
    <w:p>
      <w:r>
        <w:t>9.3 Either party may terminate this Agreement immediately if the other party becomes insolvent.</w:t>
      </w:r>
    </w:p>
    <w:p>
      <w:pPr>
        <w:pStyle w:val="Heading1"/>
      </w:pPr>
      <w:r>
        <w:t>10. Governing Law</w:t>
      </w:r>
    </w:p>
    <w:p>
      <w:r>
        <w:t>10.1 This Agreement is governed by the laws of the Emirate of Dubai and the federal laws of the United Arab Emirates, and the courts of Dubai have exclusive jurisdiction.</w:t>
      </w:r>
    </w:p>
    <w:p>
      <w:pPr>
        <w:pStyle w:val="Heading1"/>
      </w:pPr>
      <w:r>
        <w:t>11. Notices</w:t>
      </w:r>
    </w:p>
    <w:p>
      <w:r>
        <w:t>11.1 Notices under this Agreement must be in writing and sent by email to the address each party designates for notices.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