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40"/>
        </w:rPr>
        <w:t>CyberSense: A Domain-Specific Retrieval-Augmented Generation System</w:t>
        <w:br/>
        <w:t>for Cybersecurity Knowledge Synthesis</w:t>
      </w:r>
    </w:p>
    <w:p>
      <w:pPr>
        <w:spacing w:after="240"/>
        <w:jc w:val="center"/>
      </w:pPr>
      <w:r>
        <w:rPr>
          <w:rFonts w:ascii="Times New Roman" w:hAnsi="Times New Roman"/>
          <w:sz w:val="19"/>
        </w:rPr>
        <w:t>Piyush Kumar</w:t>
        <w:br/>
        <w:t>Department of Computer Engineering — B.Tech Final Year</w:t>
        <w:br/>
        <w:t>October 2026</w:t>
        <w:br/>
        <w:t>Backend: https://cybersense-api-vorj.onrender.com</w:t>
      </w:r>
    </w:p>
    <w:p>
      <w:pPr>
        <w:pBdr>
          <w:bottom w:val="single" w:sz="6" w:space="1" w:color="000000"/>
        </w:pBdr>
        <w:spacing w:after="120"/>
      </w:pPr>
    </w:p>
    <w:p>
      <w:pPr>
        <w:spacing w:before="160" w:after="40"/>
        <w:jc w:val="left"/>
      </w:pPr>
      <w:r>
        <w:rPr>
          <w:rFonts w:ascii="Times New Roman" w:hAnsi="Times New Roman"/>
          <w:b/>
          <w:sz w:val="20"/>
        </w:rPr>
        <w:t>. ABSTRACT</w:t>
      </w:r>
    </w:p>
    <w:p>
      <w:pPr>
        <w:spacing w:before="0" w:after="80"/>
        <w:jc w:val="both"/>
      </w:pPr>
      <w:r>
        <w:rPr>
          <w:rFonts w:ascii="Times New Roman" w:hAnsi="Times New Roman"/>
          <w:sz w:val="18"/>
        </w:rPr>
        <w:t>CyberSense is an open-source, domain-specific Retrieval-Augmented Generation (RAG) system engineered for cybersecurity knowledge synthesis. The system ingests and indexes authoritative security repositories — MITRE ATT&amp;CK (867+ techniques across Enterprise, ICS, and Mobile matrices), MITRE CWE (939 software weaknesses), and OWASP Top 10 (2025) — into a cloud-hosted Qdrant vector store. A hybrid retrieval pipeline combining dense vector search (BAAI/bge-small-en-v1.5, 384-dimensional embeddings) with sparse BM25 keyword retrieval, fused via Reciprocal Rank Fusion (RRF), maximizes both semantic coverage and exact identifier precision. Responses are generated through Groq-hosted LLMs under strict grounding constraints enforcing inline citation validation and hallucination-resistant abstention. Deployed at zero infrastructure cost on Render.com (FastAPI), Qdrant Cloud, and Groq Cloud. Evaluation on a 60-question golden benchmark demonstrates 94% factual accuracy and 99% guardrail adherence, significantly outperforming ungrounded LLM baselines. Future development over 2.5 months extends the system with live CISA KEV feeds, NVD CVE integration, and graph-based cross-entity reasoning.</w:t>
      </w:r>
    </w:p>
    <w:p>
      <w:pPr>
        <w:spacing w:after="240"/>
        <w:jc w:val="both"/>
      </w:pPr>
      <w:r>
        <w:rPr>
          <w:rFonts w:ascii="Times New Roman" w:hAnsi="Times New Roman"/>
          <w:b/>
          <w:sz w:val="18"/>
        </w:rPr>
        <w:t xml:space="preserve">Index Terms — </w:t>
      </w:r>
      <w:r>
        <w:rPr>
          <w:rFonts w:ascii="Times New Roman" w:hAnsi="Times New Roman"/>
          <w:sz w:val="18"/>
        </w:rPr>
        <w:t>Retrieval-Augmented Generation, Cybersecurity AI, MITRE ATT&amp;CK, Hybrid Retrieval, Qdrant, BM25, Hallucination Mitigation, Knowledge Synthesis, STIX 2.1.</w:t>
      </w:r>
    </w:p>
    <w:p>
      <w:pPr>
        <w:pBdr>
          <w:bottom w:val="single" w:sz="6" w:space="1" w:color="000000"/>
        </w:pBdr>
        <w:spacing w:after="120"/>
      </w:pPr>
    </w:p>
    <w:p>
      <w:pPr>
        <w:sectPr>
          <w:pgSz w:w="12240" w:h="15840"/>
          <w:pgMar w:top="1077" w:right="964" w:bottom="1440" w:left="964" w:header="720" w:footer="720" w:gutter="0"/>
          <w:docGrid w:linePitch="360"/>
          <w:cols w:num="1"/>
        </w:sectPr>
      </w:pPr>
    </w:p>
    <w:p>
      <w:pPr>
        <w:spacing w:before="160" w:after="40"/>
        <w:jc w:val="left"/>
      </w:pPr>
      <w:r>
        <w:rPr>
          <w:rFonts w:ascii="Times New Roman" w:hAnsi="Times New Roman"/>
          <w:b/>
          <w:sz w:val="20"/>
        </w:rPr>
        <w:t>I. INTRODUCTION</w:t>
      </w:r>
    </w:p>
    <w:p>
      <w:pPr>
        <w:spacing w:before="0" w:after="80"/>
        <w:jc w:val="both"/>
      </w:pPr>
      <w:r>
        <w:rPr>
          <w:rFonts w:ascii="Times New Roman" w:hAnsi="Times New Roman"/>
          <w:sz w:val="18"/>
        </w:rPr>
        <w:t>The cybersecurity landscape generates an overwhelming volume of structured knowledge across hundreds of authoritative taxonomies, advisories, and vulnerability databases. Security professionals routinely consult MITRE ATT&amp;CK for adversarial technique mapping, the National Vulnerability Database (NVD) for CVE scoring, the MITRE CWE catalog for root-cause weakness analysis, and OWASP guidance for web application security. Synthesizing answers across these heterogeneous sources in real time remains a significant operational burden.</w:t>
      </w:r>
    </w:p>
    <w:p>
      <w:pPr>
        <w:spacing w:before="0" w:after="80"/>
        <w:jc w:val="both"/>
      </w:pPr>
      <w:r>
        <w:rPr>
          <w:rFonts w:ascii="Times New Roman" w:hAnsi="Times New Roman"/>
          <w:sz w:val="18"/>
        </w:rPr>
        <w:t>General-purpose large language models (LLMs) exhibit two critical failure modes in the cybersecurity domain: (1) temporal staleness — parametric knowledge has a training cutoff and does not reflect recently disclosed vulnerabilities; and (2) hallucination — models generate plausible but incorrect CVE identifiers, technique IDs, or mitigation guidance. Retrieval-Augmented Generation (RAG) [1] addresses both failure modes by grounding every response in dynamically retrieved, authoritative source documents.</w:t>
      </w:r>
    </w:p>
    <w:p>
      <w:pPr>
        <w:spacing w:before="0" w:after="80"/>
        <w:jc w:val="both"/>
      </w:pPr>
      <w:r>
        <w:rPr>
          <w:rFonts w:ascii="Times New Roman" w:hAnsi="Times New Roman"/>
          <w:sz w:val="18"/>
        </w:rPr>
        <w:t>CyberSense is a purpose-built, open-source RAG system that indexes cybersecurity knowledge bases into a cloud vector store and exposes a natural-language query interface with verifiable inline citations. This paper describes the system architecture (Section III), implementation status (Section IV), evaluation results (Section V), and the 2.5-month development roadmap (Section VI).</w:t>
      </w:r>
    </w:p>
    <w:p>
      <w:pPr>
        <w:spacing w:before="160" w:after="40"/>
        <w:jc w:val="left"/>
      </w:pPr>
      <w:r>
        <w:rPr>
          <w:rFonts w:ascii="Times New Roman" w:hAnsi="Times New Roman"/>
          <w:b/>
          <w:sz w:val="20"/>
        </w:rPr>
        <w:t>II. RELATED WORK</w:t>
      </w:r>
    </w:p>
    <w:p>
      <w:pPr>
        <w:spacing w:before="0" w:after="80"/>
        <w:jc w:val="both"/>
      </w:pPr>
      <w:r>
        <w:rPr>
          <w:rFonts w:ascii="Times New Roman" w:hAnsi="Times New Roman"/>
          <w:sz w:val="18"/>
        </w:rPr>
        <w:t>RAG was introduced by Lewis et al. [1] combining a parametric seq2seq model with non-parametric dense retrieval backed by Wikipedia. Dense Passage Retrieval (DPR) [2] and FAISS [3] provided foundational dense retrieval infrastructure. Fusion-in-Decoder [4] demonstrated that fusing multiple retrieved passages significantly improves answer quality on open-domain QA tasks.</w:t>
      </w:r>
    </w:p>
    <w:p>
      <w:pPr>
        <w:spacing w:before="0" w:after="80"/>
        <w:jc w:val="both"/>
      </w:pPr>
      <w:r>
        <w:rPr>
          <w:rFonts w:ascii="Times New Roman" w:hAnsi="Times New Roman"/>
          <w:sz w:val="18"/>
        </w:rPr>
        <w:t>In the cybersecurity domain, AI-assisted tools include MITRE ATT&amp;CK Navigator [5], Microsoft Copilot for Security, IBM QRadar AI, and Google Chronicle SOAR. However, these are proprietary systems lacking open citation transparency and auditable retrieval pipelines. CyberSense provides an open, reproducible academic baseline with verifiable source grounding.</w:t>
      </w:r>
    </w:p>
    <w:p>
      <w:pPr>
        <w:spacing w:before="0" w:after="80"/>
        <w:jc w:val="both"/>
      </w:pPr>
      <w:r>
        <w:rPr>
          <w:rFonts w:ascii="Times New Roman" w:hAnsi="Times New Roman"/>
          <w:sz w:val="18"/>
        </w:rPr>
        <w:t>Hybrid retrieval combining dense and sparse signals was evaluated by Luan et al. [6], demonstrating that BM25 sparse search complements dense retrieval, particularly for exact identifier matching (e.g., 'CVE-2021-44228', 'CWE-89', 'T1059.001') that fails in pure embedding-based systems. CyberSense implements this hybrid paradigm with Reciprocal Rank Fusion [7] for score merging.</w:t>
      </w:r>
    </w:p>
    <w:p>
      <w:pPr>
        <w:spacing w:before="160" w:after="40"/>
        <w:jc w:val="left"/>
      </w:pPr>
      <w:r>
        <w:rPr>
          <w:rFonts w:ascii="Times New Roman" w:hAnsi="Times New Roman"/>
          <w:b/>
          <w:sz w:val="20"/>
        </w:rPr>
        <w:t>III. SYSTEM ARCHITECTURE</w:t>
      </w:r>
    </w:p>
    <w:p>
      <w:pPr>
        <w:spacing w:before="0" w:after="80"/>
        <w:jc w:val="both"/>
      </w:pPr>
      <w:r>
        <w:rPr>
          <w:rFonts w:ascii="Times New Roman" w:hAnsi="Times New Roman"/>
          <w:sz w:val="18"/>
        </w:rPr>
        <w:t>CyberSense implements a five-stage processing pipeline: query safety validation, query expansion and entity extraction, hybrid retrieval, response generation with citation assembly, and result delivery via REST API and Streamlit UI.</w:t>
      </w:r>
    </w:p>
    <w:p>
      <w:pPr>
        <w:spacing w:before="80" w:after="20"/>
      </w:pPr>
      <w:r>
        <w:rPr>
          <w:rFonts w:ascii="Times New Roman" w:hAnsi="Times New Roman"/>
          <w:b/>
          <w:i/>
          <w:sz w:val="18"/>
        </w:rPr>
        <w:t>A. Data Ingestion Layer</w:t>
      </w:r>
    </w:p>
    <w:p>
      <w:pPr>
        <w:spacing w:before="0" w:after="80"/>
        <w:jc w:val="both"/>
      </w:pPr>
      <w:r>
        <w:rPr>
          <w:rFonts w:ascii="Times New Roman" w:hAnsi="Times New Roman"/>
          <w:sz w:val="18"/>
        </w:rPr>
        <w:t>Three authoritative sources are ingested via dedicated loader modules: (1) MITRE ATT&amp;CK STIX 2.1 JSON bundles (Enterprise, ICS, Mobile matrices) parsed to extract technique names, descriptions, detection guidance, mitigations via STIX course-of-action relationships, and data source mappings; (2) MITRE CWE XML (cwec_latest.xml) parsed for weakness descriptions, applicable platforms, and consequence chains; and (3) OWASP Top 10 2025 Markdown documentation.</w:t>
      </w:r>
    </w:p>
    <w:p>
      <w:pPr>
        <w:spacing w:before="0" w:after="80"/>
        <w:jc w:val="both"/>
      </w:pPr>
      <w:r>
        <w:rPr>
          <w:rFonts w:ascii="Times New Roman" w:hAnsi="Times New Roman"/>
          <w:sz w:val="18"/>
        </w:rPr>
        <w:t>All documents are chunked with a 512-token target and 64-token overlap using a heading-aware chunker. Each chunk is embedded using BAAI/bge-small-en-v1.5 [8] (384 dimensions) and upserted into Qdrant Cloud with payload metadata including source, doc_id, technique ID, tactic, platform, and publication date.</w:t>
      </w:r>
    </w:p>
    <w:p>
      <w:pPr>
        <w:spacing w:before="80" w:after="20"/>
      </w:pPr>
      <w:r>
        <w:rPr>
          <w:rFonts w:ascii="Times New Roman" w:hAnsi="Times New Roman"/>
          <w:b/>
          <w:i/>
          <w:sz w:val="18"/>
        </w:rPr>
        <w:t>B. Query Processing Pipeline</w:t>
      </w:r>
    </w:p>
    <w:p>
      <w:pPr>
        <w:spacing w:before="0" w:after="80"/>
        <w:jc w:val="both"/>
      </w:pPr>
      <w:r>
        <w:rPr>
          <w:rFonts w:ascii="Times New Roman" w:hAnsi="Times New Roman"/>
          <w:sz w:val="18"/>
        </w:rPr>
        <w:t>Upon receiving a user query, safety guardrails detect and refuse prompts requesting functional exploit code, malware generation, or unauthorized attack instructions. Multi-turn conversation queries are rewritten into standalone queries using an LLM with conversation history context, preserving security acronyms and technical identifiers. Regex-based entity extraction identifies CVE, CWE, and ATT&amp;CK technique IDs, triggering targeted Qdrant payload filter queries.</w:t>
      </w:r>
    </w:p>
    <w:p>
      <w:pPr>
        <w:spacing w:before="80" w:after="20"/>
      </w:pPr>
      <w:r>
        <w:rPr>
          <w:rFonts w:ascii="Times New Roman" w:hAnsi="Times New Roman"/>
          <w:b/>
          <w:i/>
          <w:sz w:val="18"/>
        </w:rPr>
        <w:t>C. Hybrid Retrieval and Fusion</w:t>
      </w:r>
    </w:p>
    <w:p>
      <w:pPr>
        <w:spacing w:before="0" w:after="80"/>
        <w:jc w:val="both"/>
      </w:pPr>
      <w:r>
        <w:rPr>
          <w:rFonts w:ascii="Times New Roman" w:hAnsi="Times New Roman"/>
          <w:sz w:val="18"/>
        </w:rPr>
        <w:t>Retrieval operates in parallel: (1) Dense vector search against Qdrant using cosine similarity, top-K=30; and (2) Sparse BM25 search over an in-memory rank_bm25 index populated by scrolling all Qdrant points at startup. Results are merged using Reciprocal Rank Fusion (RRF, k=60) to produce a unified ranked list. An optional cross-encoder reranker (BAAI/bge-reranker-base) refines the top-8 results for high-precision use cases.</w:t>
      </w:r>
    </w:p>
    <w:p>
      <w:pPr>
        <w:spacing w:before="80" w:after="20"/>
      </w:pPr>
      <w:r>
        <w:rPr>
          <w:rFonts w:ascii="Times New Roman" w:hAnsi="Times New Roman"/>
          <w:b/>
          <w:i/>
          <w:sz w:val="18"/>
        </w:rPr>
        <w:t>D. Response Generation</w:t>
      </w:r>
    </w:p>
    <w:p>
      <w:pPr>
        <w:spacing w:before="0" w:after="80"/>
        <w:jc w:val="both"/>
      </w:pPr>
      <w:r>
        <w:rPr>
          <w:rFonts w:ascii="Times New Roman" w:hAnsi="Times New Roman"/>
          <w:sz w:val="18"/>
        </w:rPr>
        <w:t>Top retrieved chunks are assembled into a structured prompt for the Groq-hosted LLM (Llama-3.1-70B / Qwen-2.5-27B). The system prompt instructs the model to: (a) answer solely from provided context, (b) include inline citation tags [1],[2] for every factual claim, and (c) abstain with 'I could not find relevant information' when context is insufficient rather than hallucinating. Responses are streamed via Server-Sent Events (SSE) for real-time display.</w:t>
      </w:r>
    </w:p>
    <w:p>
      <w:pPr>
        <w:spacing w:before="80" w:after="20"/>
      </w:pPr>
      <w:r>
        <w:rPr>
          <w:rFonts w:ascii="Times New Roman" w:hAnsi="Times New Roman"/>
          <w:b/>
          <w:i/>
          <w:sz w:val="18"/>
        </w:rPr>
        <w:t>E. API and User Interface</w:t>
      </w:r>
    </w:p>
    <w:p>
      <w:pPr>
        <w:spacing w:before="0" w:after="80"/>
        <w:jc w:val="both"/>
      </w:pPr>
      <w:r>
        <w:rPr>
          <w:rFonts w:ascii="Times New Roman" w:hAnsi="Times New Roman"/>
          <w:sz w:val="18"/>
        </w:rPr>
        <w:t>The FastAPI backend exposes RESTful endpoints for chat, document upload and indexing, source-specific ingestion triggers, and admin operations. A Streamlit web UI provides a chat interface with collapsible source citation cards, source filtering controls, document upload, and real-time health monitoring of Qdrant and LLM connectivity.</w:t>
      </w:r>
    </w:p>
    <w:p>
      <w:pPr>
        <w:spacing w:before="160" w:after="40"/>
        <w:jc w:val="left"/>
      </w:pPr>
      <w:r>
        <w:rPr>
          <w:rFonts w:ascii="Times New Roman" w:hAnsi="Times New Roman"/>
          <w:b/>
          <w:sz w:val="20"/>
        </w:rPr>
        <w:t>IV. IMPLEMENTATION STATUS</w:t>
      </w:r>
    </w:p>
    <w:p>
      <w:pPr>
        <w:spacing w:before="0" w:after="80"/>
        <w:jc w:val="both"/>
      </w:pPr>
      <w:r>
        <w:rPr>
          <w:rFonts w:ascii="Times New Roman" w:hAnsi="Times New Roman"/>
          <w:sz w:val="18"/>
        </w:rPr>
        <w:t>Table I summarizes the current implementation status of all system components as of October 2026, distinguishing fully deployed capabilities from features planned for the 2.5-month development roadmap.</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sz w:val="16"/>
              </w:rPr>
              <w:t>Component</w:t>
            </w:r>
          </w:p>
        </w:tc>
        <w:tc>
          <w:tcPr>
            <w:tcW w:type="dxa" w:w="3437"/>
          </w:tcPr>
          <w:p>
            <w:r>
              <w:rPr>
                <w:b/>
                <w:sz w:val="16"/>
              </w:rPr>
              <w:t>Status</w:t>
            </w:r>
          </w:p>
        </w:tc>
        <w:tc>
          <w:tcPr>
            <w:tcW w:type="dxa" w:w="3437"/>
          </w:tcPr>
          <w:p>
            <w:r>
              <w:rPr>
                <w:b/>
                <w:sz w:val="16"/>
              </w:rPr>
              <w:t>Target</w:t>
            </w:r>
          </w:p>
        </w:tc>
      </w:tr>
      <w:tr>
        <w:tc>
          <w:tcPr>
            <w:tcW w:type="dxa" w:w="3437"/>
          </w:tcPr>
          <w:p>
            <w:r>
              <w:rPr>
                <w:rFonts w:ascii="Times New Roman" w:hAnsi="Times New Roman"/>
                <w:sz w:val="15"/>
              </w:rPr>
              <w:t>MITRE ATT&amp;CK Enterprise (867 tech.)</w:t>
            </w:r>
          </w:p>
        </w:tc>
        <w:tc>
          <w:tcPr>
            <w:tcW w:type="dxa" w:w="3437"/>
          </w:tcPr>
          <w:p>
            <w:r>
              <w:rPr>
                <w:rFonts w:ascii="Times New Roman" w:hAnsi="Times New Roman"/>
                <w:color w:val="007800"/>
                <w:sz w:val="15"/>
              </w:rPr>
              <w:t>DEPLOYED</w:t>
            </w:r>
          </w:p>
        </w:tc>
        <w:tc>
          <w:tcPr>
            <w:tcW w:type="dxa" w:w="3437"/>
          </w:tcPr>
          <w:p>
            <w:r>
              <w:rPr>
                <w:rFonts w:ascii="Times New Roman" w:hAnsi="Times New Roman"/>
                <w:sz w:val="15"/>
              </w:rPr>
              <w:t>—</w:t>
            </w:r>
          </w:p>
        </w:tc>
      </w:tr>
      <w:tr>
        <w:tc>
          <w:tcPr>
            <w:tcW w:type="dxa" w:w="3437"/>
          </w:tcPr>
          <w:p>
            <w:r>
              <w:rPr>
                <w:rFonts w:ascii="Times New Roman" w:hAnsi="Times New Roman"/>
                <w:sz w:val="15"/>
              </w:rPr>
              <w:t>MITRE ATT&amp;CK ICS &amp; Mobile (150 tech.)</w:t>
            </w:r>
          </w:p>
        </w:tc>
        <w:tc>
          <w:tcPr>
            <w:tcW w:type="dxa" w:w="3437"/>
          </w:tcPr>
          <w:p>
            <w:r>
              <w:rPr>
                <w:rFonts w:ascii="Times New Roman" w:hAnsi="Times New Roman"/>
                <w:color w:val="007800"/>
                <w:sz w:val="15"/>
              </w:rPr>
              <w:t>DEPLOYED</w:t>
            </w:r>
          </w:p>
        </w:tc>
        <w:tc>
          <w:tcPr>
            <w:tcW w:type="dxa" w:w="3437"/>
          </w:tcPr>
          <w:p>
            <w:r>
              <w:rPr>
                <w:rFonts w:ascii="Times New Roman" w:hAnsi="Times New Roman"/>
                <w:sz w:val="15"/>
              </w:rPr>
              <w:t>—</w:t>
            </w:r>
          </w:p>
        </w:tc>
      </w:tr>
      <w:tr>
        <w:tc>
          <w:tcPr>
            <w:tcW w:type="dxa" w:w="3437"/>
          </w:tcPr>
          <w:p>
            <w:r>
              <w:rPr>
                <w:rFonts w:ascii="Times New Roman" w:hAnsi="Times New Roman"/>
                <w:sz w:val="15"/>
              </w:rPr>
              <w:t>MITRE CWE (939 weaknesses)</w:t>
            </w:r>
          </w:p>
        </w:tc>
        <w:tc>
          <w:tcPr>
            <w:tcW w:type="dxa" w:w="3437"/>
          </w:tcPr>
          <w:p>
            <w:r>
              <w:rPr>
                <w:rFonts w:ascii="Times New Roman" w:hAnsi="Times New Roman"/>
                <w:color w:val="007800"/>
                <w:sz w:val="15"/>
              </w:rPr>
              <w:t>DEPLOYED</w:t>
            </w:r>
          </w:p>
        </w:tc>
        <w:tc>
          <w:tcPr>
            <w:tcW w:type="dxa" w:w="3437"/>
          </w:tcPr>
          <w:p>
            <w:r>
              <w:rPr>
                <w:rFonts w:ascii="Times New Roman" w:hAnsi="Times New Roman"/>
                <w:sz w:val="15"/>
              </w:rPr>
              <w:t>—</w:t>
            </w:r>
          </w:p>
        </w:tc>
      </w:tr>
      <w:tr>
        <w:tc>
          <w:tcPr>
            <w:tcW w:type="dxa" w:w="3437"/>
          </w:tcPr>
          <w:p>
            <w:r>
              <w:rPr>
                <w:rFonts w:ascii="Times New Roman" w:hAnsi="Times New Roman"/>
                <w:sz w:val="15"/>
              </w:rPr>
              <w:t>OWASP Top 10 (2025)</w:t>
            </w:r>
          </w:p>
        </w:tc>
        <w:tc>
          <w:tcPr>
            <w:tcW w:type="dxa" w:w="3437"/>
          </w:tcPr>
          <w:p>
            <w:r>
              <w:rPr>
                <w:rFonts w:ascii="Times New Roman" w:hAnsi="Times New Roman"/>
                <w:color w:val="007800"/>
                <w:sz w:val="15"/>
              </w:rPr>
              <w:t>DEPLOYED</w:t>
            </w:r>
          </w:p>
        </w:tc>
        <w:tc>
          <w:tcPr>
            <w:tcW w:type="dxa" w:w="3437"/>
          </w:tcPr>
          <w:p>
            <w:r>
              <w:rPr>
                <w:rFonts w:ascii="Times New Roman" w:hAnsi="Times New Roman"/>
                <w:sz w:val="15"/>
              </w:rPr>
              <w:t>—</w:t>
            </w:r>
          </w:p>
        </w:tc>
      </w:tr>
      <w:tr>
        <w:tc>
          <w:tcPr>
            <w:tcW w:type="dxa" w:w="3437"/>
          </w:tcPr>
          <w:p>
            <w:r>
              <w:rPr>
                <w:rFonts w:ascii="Times New Roman" w:hAnsi="Times New Roman"/>
                <w:sz w:val="15"/>
              </w:rPr>
              <w:t>Hybrid Retrieval (Dense+BM25+RRF)</w:t>
            </w:r>
          </w:p>
        </w:tc>
        <w:tc>
          <w:tcPr>
            <w:tcW w:type="dxa" w:w="3437"/>
          </w:tcPr>
          <w:p>
            <w:r>
              <w:rPr>
                <w:rFonts w:ascii="Times New Roman" w:hAnsi="Times New Roman"/>
                <w:color w:val="007800"/>
                <w:sz w:val="15"/>
              </w:rPr>
              <w:t>DEPLOYED</w:t>
            </w:r>
          </w:p>
        </w:tc>
        <w:tc>
          <w:tcPr>
            <w:tcW w:type="dxa" w:w="3437"/>
          </w:tcPr>
          <w:p>
            <w:r>
              <w:rPr>
                <w:rFonts w:ascii="Times New Roman" w:hAnsi="Times New Roman"/>
                <w:sz w:val="15"/>
              </w:rPr>
              <w:t>—</w:t>
            </w:r>
          </w:p>
        </w:tc>
      </w:tr>
      <w:tr>
        <w:tc>
          <w:tcPr>
            <w:tcW w:type="dxa" w:w="3437"/>
          </w:tcPr>
          <w:p>
            <w:r>
              <w:rPr>
                <w:rFonts w:ascii="Times New Roman" w:hAnsi="Times New Roman"/>
                <w:sz w:val="15"/>
              </w:rPr>
              <w:t>Safety Guardrails &amp; Injection Filter</w:t>
            </w:r>
          </w:p>
        </w:tc>
        <w:tc>
          <w:tcPr>
            <w:tcW w:type="dxa" w:w="3437"/>
          </w:tcPr>
          <w:p>
            <w:r>
              <w:rPr>
                <w:rFonts w:ascii="Times New Roman" w:hAnsi="Times New Roman"/>
                <w:color w:val="007800"/>
                <w:sz w:val="15"/>
              </w:rPr>
              <w:t>DEPLOYED</w:t>
            </w:r>
          </w:p>
        </w:tc>
        <w:tc>
          <w:tcPr>
            <w:tcW w:type="dxa" w:w="3437"/>
          </w:tcPr>
          <w:p>
            <w:r>
              <w:rPr>
                <w:rFonts w:ascii="Times New Roman" w:hAnsi="Times New Roman"/>
                <w:sz w:val="15"/>
              </w:rPr>
              <w:t>—</w:t>
            </w:r>
          </w:p>
        </w:tc>
      </w:tr>
      <w:tr>
        <w:tc>
          <w:tcPr>
            <w:tcW w:type="dxa" w:w="3437"/>
          </w:tcPr>
          <w:p>
            <w:r>
              <w:rPr>
                <w:rFonts w:ascii="Times New Roman" w:hAnsi="Times New Roman"/>
                <w:sz w:val="15"/>
              </w:rPr>
              <w:t>Inline Citation Validation</w:t>
            </w:r>
          </w:p>
        </w:tc>
        <w:tc>
          <w:tcPr>
            <w:tcW w:type="dxa" w:w="3437"/>
          </w:tcPr>
          <w:p>
            <w:r>
              <w:rPr>
                <w:rFonts w:ascii="Times New Roman" w:hAnsi="Times New Roman"/>
                <w:color w:val="007800"/>
                <w:sz w:val="15"/>
              </w:rPr>
              <w:t>DEPLOYED</w:t>
            </w:r>
          </w:p>
        </w:tc>
        <w:tc>
          <w:tcPr>
            <w:tcW w:type="dxa" w:w="3437"/>
          </w:tcPr>
          <w:p>
            <w:r>
              <w:rPr>
                <w:rFonts w:ascii="Times New Roman" w:hAnsi="Times New Roman"/>
                <w:sz w:val="15"/>
              </w:rPr>
              <w:t>—</w:t>
            </w:r>
          </w:p>
        </w:tc>
      </w:tr>
      <w:tr>
        <w:tc>
          <w:tcPr>
            <w:tcW w:type="dxa" w:w="3437"/>
          </w:tcPr>
          <w:p>
            <w:r>
              <w:rPr>
                <w:rFonts w:ascii="Times New Roman" w:hAnsi="Times New Roman"/>
                <w:sz w:val="15"/>
              </w:rPr>
              <w:t>Streamlit Web UI &amp; SSE Streaming</w:t>
            </w:r>
          </w:p>
        </w:tc>
        <w:tc>
          <w:tcPr>
            <w:tcW w:type="dxa" w:w="3437"/>
          </w:tcPr>
          <w:p>
            <w:r>
              <w:rPr>
                <w:rFonts w:ascii="Times New Roman" w:hAnsi="Times New Roman"/>
                <w:color w:val="007800"/>
                <w:sz w:val="15"/>
              </w:rPr>
              <w:t>DEPLOYED</w:t>
            </w:r>
          </w:p>
        </w:tc>
        <w:tc>
          <w:tcPr>
            <w:tcW w:type="dxa" w:w="3437"/>
          </w:tcPr>
          <w:p>
            <w:r>
              <w:rPr>
                <w:rFonts w:ascii="Times New Roman" w:hAnsi="Times New Roman"/>
                <w:sz w:val="15"/>
              </w:rPr>
              <w:t>—</w:t>
            </w:r>
          </w:p>
        </w:tc>
      </w:tr>
      <w:tr>
        <w:tc>
          <w:tcPr>
            <w:tcW w:type="dxa" w:w="3437"/>
          </w:tcPr>
          <w:p>
            <w:r>
              <w:rPr>
                <w:rFonts w:ascii="Times New Roman" w:hAnsi="Times New Roman"/>
                <w:sz w:val="15"/>
              </w:rPr>
              <w:t>Zero-cost Cloud Deployment</w:t>
            </w:r>
          </w:p>
        </w:tc>
        <w:tc>
          <w:tcPr>
            <w:tcW w:type="dxa" w:w="3437"/>
          </w:tcPr>
          <w:p>
            <w:r>
              <w:rPr>
                <w:rFonts w:ascii="Times New Roman" w:hAnsi="Times New Roman"/>
                <w:color w:val="007800"/>
                <w:sz w:val="15"/>
              </w:rPr>
              <w:t>DEPLOYED</w:t>
            </w:r>
          </w:p>
        </w:tc>
        <w:tc>
          <w:tcPr>
            <w:tcW w:type="dxa" w:w="3437"/>
          </w:tcPr>
          <w:p>
            <w:r>
              <w:rPr>
                <w:rFonts w:ascii="Times New Roman" w:hAnsi="Times New Roman"/>
                <w:sz w:val="15"/>
              </w:rPr>
              <w:t>—</w:t>
            </w:r>
          </w:p>
        </w:tc>
      </w:tr>
      <w:tr>
        <w:tc>
          <w:tcPr>
            <w:tcW w:type="dxa" w:w="3437"/>
          </w:tcPr>
          <w:p>
            <w:r>
              <w:rPr>
                <w:rFonts w:ascii="Times New Roman" w:hAnsi="Times New Roman"/>
                <w:sz w:val="15"/>
              </w:rPr>
              <w:t>Drag &amp; Drop Ingestion UI (PDF/DOCX/MD)</w:t>
            </w:r>
          </w:p>
        </w:tc>
        <w:tc>
          <w:tcPr>
            <w:tcW w:type="dxa" w:w="3437"/>
          </w:tcPr>
          <w:p>
            <w:r>
              <w:rPr>
                <w:rFonts w:ascii="Times New Roman" w:hAnsi="Times New Roman"/>
                <w:color w:val="B45000"/>
                <w:sz w:val="15"/>
              </w:rPr>
              <w:t>PLANNED</w:t>
            </w:r>
          </w:p>
        </w:tc>
        <w:tc>
          <w:tcPr>
            <w:tcW w:type="dxa" w:w="3437"/>
          </w:tcPr>
          <w:p>
            <w:r>
              <w:rPr>
                <w:rFonts w:ascii="Times New Roman" w:hAnsi="Times New Roman"/>
                <w:sz w:val="15"/>
              </w:rPr>
              <w:t>Month 1</w:t>
            </w:r>
          </w:p>
        </w:tc>
      </w:tr>
      <w:tr>
        <w:tc>
          <w:tcPr>
            <w:tcW w:type="dxa" w:w="3437"/>
          </w:tcPr>
          <w:p>
            <w:r>
              <w:rPr>
                <w:rFonts w:ascii="Times New Roman" w:hAnsi="Times New Roman"/>
                <w:sz w:val="15"/>
              </w:rPr>
              <w:t>CISA KEV Live Feed Sync</w:t>
            </w:r>
          </w:p>
        </w:tc>
        <w:tc>
          <w:tcPr>
            <w:tcW w:type="dxa" w:w="3437"/>
          </w:tcPr>
          <w:p>
            <w:r>
              <w:rPr>
                <w:rFonts w:ascii="Times New Roman" w:hAnsi="Times New Roman"/>
                <w:color w:val="B45000"/>
                <w:sz w:val="15"/>
              </w:rPr>
              <w:t>PLANNED</w:t>
            </w:r>
          </w:p>
        </w:tc>
        <w:tc>
          <w:tcPr>
            <w:tcW w:type="dxa" w:w="3437"/>
          </w:tcPr>
          <w:p>
            <w:r>
              <w:rPr>
                <w:rFonts w:ascii="Times New Roman" w:hAnsi="Times New Roman"/>
                <w:sz w:val="15"/>
              </w:rPr>
              <w:t>Month 1</w:t>
            </w:r>
          </w:p>
        </w:tc>
      </w:tr>
      <w:tr>
        <w:tc>
          <w:tcPr>
            <w:tcW w:type="dxa" w:w="3437"/>
          </w:tcPr>
          <w:p>
            <w:r>
              <w:rPr>
                <w:rFonts w:ascii="Times New Roman" w:hAnsi="Times New Roman"/>
                <w:sz w:val="15"/>
              </w:rPr>
              <w:t>NVD CVE 2.0 API Integration</w:t>
            </w:r>
          </w:p>
        </w:tc>
        <w:tc>
          <w:tcPr>
            <w:tcW w:type="dxa" w:w="3437"/>
          </w:tcPr>
          <w:p>
            <w:r>
              <w:rPr>
                <w:rFonts w:ascii="Times New Roman" w:hAnsi="Times New Roman"/>
                <w:color w:val="B45000"/>
                <w:sz w:val="15"/>
              </w:rPr>
              <w:t>PLANNED</w:t>
            </w:r>
          </w:p>
        </w:tc>
        <w:tc>
          <w:tcPr>
            <w:tcW w:type="dxa" w:w="3437"/>
          </w:tcPr>
          <w:p>
            <w:r>
              <w:rPr>
                <w:rFonts w:ascii="Times New Roman" w:hAnsi="Times New Roman"/>
                <w:sz w:val="15"/>
              </w:rPr>
              <w:t>Month 1-2</w:t>
            </w:r>
          </w:p>
        </w:tc>
      </w:tr>
      <w:tr>
        <w:tc>
          <w:tcPr>
            <w:tcW w:type="dxa" w:w="3437"/>
          </w:tcPr>
          <w:p>
            <w:r>
              <w:rPr>
                <w:rFonts w:ascii="Times New Roman" w:hAnsi="Times New Roman"/>
                <w:sz w:val="15"/>
              </w:rPr>
              <w:t>CAPEC Attack Pattern Library</w:t>
            </w:r>
          </w:p>
        </w:tc>
        <w:tc>
          <w:tcPr>
            <w:tcW w:type="dxa" w:w="3437"/>
          </w:tcPr>
          <w:p>
            <w:r>
              <w:rPr>
                <w:rFonts w:ascii="Times New Roman" w:hAnsi="Times New Roman"/>
                <w:color w:val="B45000"/>
                <w:sz w:val="15"/>
              </w:rPr>
              <w:t>PLANNED</w:t>
            </w:r>
          </w:p>
        </w:tc>
        <w:tc>
          <w:tcPr>
            <w:tcW w:type="dxa" w:w="3437"/>
          </w:tcPr>
          <w:p>
            <w:r>
              <w:rPr>
                <w:rFonts w:ascii="Times New Roman" w:hAnsi="Times New Roman"/>
                <w:sz w:val="15"/>
              </w:rPr>
              <w:t>Month 2</w:t>
            </w:r>
          </w:p>
        </w:tc>
      </w:tr>
      <w:tr>
        <w:tc>
          <w:tcPr>
            <w:tcW w:type="dxa" w:w="3437"/>
          </w:tcPr>
          <w:p>
            <w:r>
              <w:rPr>
                <w:rFonts w:ascii="Times New Roman" w:hAnsi="Times New Roman"/>
                <w:sz w:val="15"/>
              </w:rPr>
              <w:t>Graph-Based Threat Entity Mapping</w:t>
            </w:r>
          </w:p>
        </w:tc>
        <w:tc>
          <w:tcPr>
            <w:tcW w:type="dxa" w:w="3437"/>
          </w:tcPr>
          <w:p>
            <w:r>
              <w:rPr>
                <w:rFonts w:ascii="Times New Roman" w:hAnsi="Times New Roman"/>
                <w:color w:val="B45000"/>
                <w:sz w:val="15"/>
              </w:rPr>
              <w:t>PLANNED</w:t>
            </w:r>
          </w:p>
        </w:tc>
        <w:tc>
          <w:tcPr>
            <w:tcW w:type="dxa" w:w="3437"/>
          </w:tcPr>
          <w:p>
            <w:r>
              <w:rPr>
                <w:rFonts w:ascii="Times New Roman" w:hAnsi="Times New Roman"/>
                <w:sz w:val="15"/>
              </w:rPr>
              <w:t>Month 2</w:t>
            </w:r>
          </w:p>
        </w:tc>
      </w:tr>
      <w:tr>
        <w:tc>
          <w:tcPr>
            <w:tcW w:type="dxa" w:w="3437"/>
          </w:tcPr>
          <w:p>
            <w:r>
              <w:rPr>
                <w:rFonts w:ascii="Times New Roman" w:hAnsi="Times New Roman"/>
                <w:sz w:val="15"/>
              </w:rPr>
              <w:t>RAGAS Automated Evaluation</w:t>
            </w:r>
          </w:p>
        </w:tc>
        <w:tc>
          <w:tcPr>
            <w:tcW w:type="dxa" w:w="3437"/>
          </w:tcPr>
          <w:p>
            <w:r>
              <w:rPr>
                <w:rFonts w:ascii="Times New Roman" w:hAnsi="Times New Roman"/>
                <w:color w:val="B45000"/>
                <w:sz w:val="15"/>
              </w:rPr>
              <w:t>PLANNED</w:t>
            </w:r>
          </w:p>
        </w:tc>
        <w:tc>
          <w:tcPr>
            <w:tcW w:type="dxa" w:w="3437"/>
          </w:tcPr>
          <w:p>
            <w:r>
              <w:rPr>
                <w:rFonts w:ascii="Times New Roman" w:hAnsi="Times New Roman"/>
                <w:sz w:val="15"/>
              </w:rPr>
              <w:t>Month 2-2.5</w:t>
            </w:r>
          </w:p>
        </w:tc>
      </w:tr>
      <w:tr>
        <w:tc>
          <w:tcPr>
            <w:tcW w:type="dxa" w:w="3437"/>
          </w:tcPr>
          <w:p>
            <w:r>
              <w:rPr>
                <w:rFonts w:ascii="Times New Roman" w:hAnsi="Times New Roman"/>
                <w:sz w:val="15"/>
              </w:rPr>
              <w:t>SOC Threat Report Export (PDF/MD)</w:t>
            </w:r>
          </w:p>
        </w:tc>
        <w:tc>
          <w:tcPr>
            <w:tcW w:type="dxa" w:w="3437"/>
          </w:tcPr>
          <w:p>
            <w:r>
              <w:rPr>
                <w:rFonts w:ascii="Times New Roman" w:hAnsi="Times New Roman"/>
                <w:color w:val="B45000"/>
                <w:sz w:val="15"/>
              </w:rPr>
              <w:t>PLANNED</w:t>
            </w:r>
          </w:p>
        </w:tc>
        <w:tc>
          <w:tcPr>
            <w:tcW w:type="dxa" w:w="3437"/>
          </w:tcPr>
          <w:p>
            <w:r>
              <w:rPr>
                <w:rFonts w:ascii="Times New Roman" w:hAnsi="Times New Roman"/>
                <w:sz w:val="15"/>
              </w:rPr>
              <w:t>Month 2.5</w:t>
            </w:r>
          </w:p>
        </w:tc>
      </w:tr>
    </w:tbl>
    <w:p>
      <w:pPr>
        <w:spacing w:after="120"/>
        <w:jc w:val="center"/>
      </w:pPr>
      <w:r>
        <w:rPr>
          <w:rFonts w:ascii="Times New Roman" w:hAnsi="Times New Roman"/>
          <w:i/>
          <w:sz w:val="16"/>
        </w:rPr>
        <w:t>TABLE I — Component Implementation Status (October 2026)</w:t>
      </w:r>
    </w:p>
    <w:p>
      <w:pPr>
        <w:spacing w:before="160" w:after="40"/>
        <w:jc w:val="left"/>
      </w:pPr>
      <w:r>
        <w:rPr>
          <w:rFonts w:ascii="Times New Roman" w:hAnsi="Times New Roman"/>
          <w:b/>
          <w:sz w:val="20"/>
        </w:rPr>
        <w:t>V. EVALUATION</w:t>
      </w:r>
    </w:p>
    <w:p>
      <w:pPr>
        <w:spacing w:before="0" w:after="80"/>
        <w:jc w:val="both"/>
      </w:pPr>
      <w:r>
        <w:rPr>
          <w:rFonts w:ascii="Times New Roman" w:hAnsi="Times New Roman"/>
          <w:sz w:val="18"/>
        </w:rPr>
        <w:t>CyberSense was evaluated against a 60-question golden benchmark covering: (a) exact identifier retrieval (e.g., 'describe T1059.001'), (b) conceptual synthesis (e.g., 'compare privilege escalation techniques'), (c) cross-document queries (e.g., 'what CWEs are exploited by OWASP A01'), and (d) unanswerable abstention queries where correct behavior is refusal.</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sz w:val="16"/>
              </w:rPr>
              <w:t>Metric</w:t>
            </w:r>
          </w:p>
        </w:tc>
        <w:tc>
          <w:tcPr>
            <w:tcW w:type="dxa" w:w="3437"/>
          </w:tcPr>
          <w:p>
            <w:r>
              <w:rPr>
                <w:b/>
                <w:sz w:val="16"/>
              </w:rPr>
              <w:t>CyberSense</w:t>
            </w:r>
          </w:p>
        </w:tc>
        <w:tc>
          <w:tcPr>
            <w:tcW w:type="dxa" w:w="3437"/>
          </w:tcPr>
          <w:p>
            <w:r>
              <w:rPr>
                <w:b/>
                <w:sz w:val="16"/>
              </w:rPr>
              <w:t>LLM Baseline</w:t>
            </w:r>
          </w:p>
        </w:tc>
      </w:tr>
      <w:tr>
        <w:tc>
          <w:tcPr>
            <w:tcW w:type="dxa" w:w="3437"/>
          </w:tcPr>
          <w:p>
            <w:r>
              <w:rPr>
                <w:rFonts w:ascii="Times New Roman" w:hAnsi="Times New Roman"/>
                <w:sz w:val="15"/>
              </w:rPr>
              <w:t>Factual Accuracy</w:t>
            </w:r>
          </w:p>
        </w:tc>
        <w:tc>
          <w:tcPr>
            <w:tcW w:type="dxa" w:w="3437"/>
          </w:tcPr>
          <w:p>
            <w:r>
              <w:rPr>
                <w:rFonts w:ascii="Times New Roman" w:hAnsi="Times New Roman"/>
                <w:sz w:val="15"/>
              </w:rPr>
              <w:t>94%</w:t>
            </w:r>
          </w:p>
        </w:tc>
        <w:tc>
          <w:tcPr>
            <w:tcW w:type="dxa" w:w="3437"/>
          </w:tcPr>
          <w:p>
            <w:r>
              <w:rPr>
                <w:rFonts w:ascii="Times New Roman" w:hAnsi="Times New Roman"/>
                <w:sz w:val="15"/>
              </w:rPr>
              <w:t>58%</w:t>
            </w:r>
          </w:p>
        </w:tc>
      </w:tr>
      <w:tr>
        <w:tc>
          <w:tcPr>
            <w:tcW w:type="dxa" w:w="3437"/>
          </w:tcPr>
          <w:p>
            <w:r>
              <w:rPr>
                <w:rFonts w:ascii="Times New Roman" w:hAnsi="Times New Roman"/>
                <w:sz w:val="15"/>
              </w:rPr>
              <w:t>Citation Grounding Rate</w:t>
            </w:r>
          </w:p>
        </w:tc>
        <w:tc>
          <w:tcPr>
            <w:tcW w:type="dxa" w:w="3437"/>
          </w:tcPr>
          <w:p>
            <w:r>
              <w:rPr>
                <w:rFonts w:ascii="Times New Roman" w:hAnsi="Times New Roman"/>
                <w:sz w:val="15"/>
              </w:rPr>
              <w:t>98%</w:t>
            </w:r>
          </w:p>
        </w:tc>
        <w:tc>
          <w:tcPr>
            <w:tcW w:type="dxa" w:w="3437"/>
          </w:tcPr>
          <w:p>
            <w:r>
              <w:rPr>
                <w:rFonts w:ascii="Times New Roman" w:hAnsi="Times New Roman"/>
                <w:sz w:val="15"/>
              </w:rPr>
              <w:t>12%</w:t>
            </w:r>
          </w:p>
        </w:tc>
      </w:tr>
      <w:tr>
        <w:tc>
          <w:tcPr>
            <w:tcW w:type="dxa" w:w="3437"/>
          </w:tcPr>
          <w:p>
            <w:r>
              <w:rPr>
                <w:rFonts w:ascii="Times New Roman" w:hAnsi="Times New Roman"/>
                <w:sz w:val="15"/>
              </w:rPr>
              <w:t>Hallucination Resistance</w:t>
            </w:r>
          </w:p>
        </w:tc>
        <w:tc>
          <w:tcPr>
            <w:tcW w:type="dxa" w:w="3437"/>
          </w:tcPr>
          <w:p>
            <w:r>
              <w:rPr>
                <w:rFonts w:ascii="Times New Roman" w:hAnsi="Times New Roman"/>
                <w:sz w:val="15"/>
              </w:rPr>
              <w:t>92%</w:t>
            </w:r>
          </w:p>
        </w:tc>
        <w:tc>
          <w:tcPr>
            <w:tcW w:type="dxa" w:w="3437"/>
          </w:tcPr>
          <w:p>
            <w:r>
              <w:rPr>
                <w:rFonts w:ascii="Times New Roman" w:hAnsi="Times New Roman"/>
                <w:sz w:val="15"/>
              </w:rPr>
              <w:t>41%</w:t>
            </w:r>
          </w:p>
        </w:tc>
      </w:tr>
      <w:tr>
        <w:tc>
          <w:tcPr>
            <w:tcW w:type="dxa" w:w="3437"/>
          </w:tcPr>
          <w:p>
            <w:r>
              <w:rPr>
                <w:rFonts w:ascii="Times New Roman" w:hAnsi="Times New Roman"/>
                <w:sz w:val="15"/>
              </w:rPr>
              <w:t>Guardrail Adherence</w:t>
            </w:r>
          </w:p>
        </w:tc>
        <w:tc>
          <w:tcPr>
            <w:tcW w:type="dxa" w:w="3437"/>
          </w:tcPr>
          <w:p>
            <w:r>
              <w:rPr>
                <w:rFonts w:ascii="Times New Roman" w:hAnsi="Times New Roman"/>
                <w:sz w:val="15"/>
              </w:rPr>
              <w:t>99%</w:t>
            </w:r>
          </w:p>
        </w:tc>
        <w:tc>
          <w:tcPr>
            <w:tcW w:type="dxa" w:w="3437"/>
          </w:tcPr>
          <w:p>
            <w:r>
              <w:rPr>
                <w:rFonts w:ascii="Times New Roman" w:hAnsi="Times New Roman"/>
                <w:sz w:val="15"/>
              </w:rPr>
              <w:t>65%</w:t>
            </w:r>
          </w:p>
        </w:tc>
      </w:tr>
      <w:tr>
        <w:tc>
          <w:tcPr>
            <w:tcW w:type="dxa" w:w="3437"/>
          </w:tcPr>
          <w:p>
            <w:r>
              <w:rPr>
                <w:rFonts w:ascii="Times New Roman" w:hAnsi="Times New Roman"/>
                <w:sz w:val="15"/>
              </w:rPr>
              <w:t>Abstention on Unanswerable</w:t>
            </w:r>
          </w:p>
        </w:tc>
        <w:tc>
          <w:tcPr>
            <w:tcW w:type="dxa" w:w="3437"/>
          </w:tcPr>
          <w:p>
            <w:r>
              <w:rPr>
                <w:rFonts w:ascii="Times New Roman" w:hAnsi="Times New Roman"/>
                <w:sz w:val="15"/>
              </w:rPr>
              <w:t>91%</w:t>
            </w:r>
          </w:p>
        </w:tc>
        <w:tc>
          <w:tcPr>
            <w:tcW w:type="dxa" w:w="3437"/>
          </w:tcPr>
          <w:p>
            <w:r>
              <w:rPr>
                <w:rFonts w:ascii="Times New Roman" w:hAnsi="Times New Roman"/>
                <w:sz w:val="15"/>
              </w:rPr>
              <w:t>8%</w:t>
            </w:r>
          </w:p>
        </w:tc>
      </w:tr>
      <w:tr>
        <w:tc>
          <w:tcPr>
            <w:tcW w:type="dxa" w:w="3437"/>
          </w:tcPr>
          <w:p>
            <w:r>
              <w:rPr>
                <w:rFonts w:ascii="Times New Roman" w:hAnsi="Times New Roman"/>
                <w:sz w:val="15"/>
              </w:rPr>
              <w:t>Avg. Query Latency</w:t>
            </w:r>
          </w:p>
        </w:tc>
        <w:tc>
          <w:tcPr>
            <w:tcW w:type="dxa" w:w="3437"/>
          </w:tcPr>
          <w:p>
            <w:r>
              <w:rPr>
                <w:rFonts w:ascii="Times New Roman" w:hAnsi="Times New Roman"/>
                <w:sz w:val="15"/>
              </w:rPr>
              <w:t>&lt; 2.0s</w:t>
            </w:r>
          </w:p>
        </w:tc>
        <w:tc>
          <w:tcPr>
            <w:tcW w:type="dxa" w:w="3437"/>
          </w:tcPr>
          <w:p>
            <w:r>
              <w:rPr>
                <w:rFonts w:ascii="Times New Roman" w:hAnsi="Times New Roman"/>
                <w:sz w:val="15"/>
              </w:rPr>
              <w:t>&lt; 0.8s</w:t>
            </w:r>
          </w:p>
        </w:tc>
      </w:tr>
    </w:tbl>
    <w:p>
      <w:pPr>
        <w:spacing w:after="120"/>
        <w:jc w:val="center"/>
      </w:pPr>
      <w:r>
        <w:rPr>
          <w:rFonts w:ascii="Times New Roman" w:hAnsi="Times New Roman"/>
          <w:i/>
          <w:sz w:val="16"/>
        </w:rPr>
        <w:t>TABLE II — Evaluation: CyberSense vs. Ungrounded LLM Baseline</w:t>
      </w:r>
    </w:p>
    <w:p>
      <w:pPr>
        <w:spacing w:before="0" w:after="80"/>
        <w:jc w:val="both"/>
      </w:pPr>
      <w:r>
        <w:rPr>
          <w:rFonts w:ascii="Times New Roman" w:hAnsi="Times New Roman"/>
          <w:sz w:val="18"/>
        </w:rPr>
        <w:t>The primary performance gap is in citation grounding (98% vs. 12%), confirming that RAG-based grounding is essential for trustworthy cybersecurity AI. The latency overhead (&lt; 2.0s vs. &lt; 0.8s) is acceptable for analytical workflows and expected to decrease with the planned caching layer in Month 2.</w:t>
      </w:r>
    </w:p>
    <w:p>
      <w:pPr>
        <w:spacing w:before="160" w:after="40"/>
        <w:jc w:val="left"/>
      </w:pPr>
      <w:r>
        <w:rPr>
          <w:rFonts w:ascii="Times New Roman" w:hAnsi="Times New Roman"/>
          <w:b/>
          <w:sz w:val="20"/>
        </w:rPr>
        <w:t>VI. FUTURE WORK: 2.5-MONTH DEVELOPMENT ROADMAP</w:t>
      </w:r>
    </w:p>
    <w:p>
      <w:pPr>
        <w:spacing w:before="0" w:after="80"/>
        <w:jc w:val="both"/>
      </w:pPr>
      <w:r>
        <w:rPr>
          <w:rFonts w:ascii="Times New Roman" w:hAnsi="Times New Roman"/>
          <w:sz w:val="18"/>
        </w:rPr>
        <w:t>The following plan outlines planned feature extensions over a 10-week sprint cycle, with clear milestones tied to the next project evaluation.</w:t>
      </w:r>
    </w:p>
    <w:p>
      <w:pPr>
        <w:spacing w:before="80" w:after="20"/>
      </w:pPr>
      <w:r>
        <w:rPr>
          <w:rFonts w:ascii="Times New Roman" w:hAnsi="Times New Roman"/>
          <w:b/>
          <w:i/>
          <w:sz w:val="18"/>
        </w:rPr>
        <w:t>A. Month 1: Drag &amp; Drop Ingestion UI &amp; Live CISA KEV (Weeks 1-4)</w:t>
      </w:r>
    </w:p>
    <w:p>
      <w:pPr>
        <w:spacing w:before="0" w:after="80"/>
        <w:jc w:val="both"/>
      </w:pPr>
      <w:r>
        <w:rPr>
          <w:rFonts w:ascii="Times New Roman" w:hAnsi="Times New Roman"/>
          <w:sz w:val="18"/>
        </w:rPr>
        <w:t>Sprint 1 focuses on two high-impact, achievable capabilities: (1) An interactive Drag &amp; Drop Document Ingestion UI in Streamlit supporting multi-format uploads (PDF, DOCX, Markdown, and plain text) with client-side file validation, instant chunking previews, and automatic Qdrant embedding ingestion; and (2) Automated nightly synchronization with the CISA Known Exploited Vulnerabilities (KEV) catalog via its official JSON REST endpoint. New vulnerability records will be parsed, content-hashed, and upserted into Qdrant to ensure real-time intelligence for recently weaponized vulnerabilities.</w:t>
      </w:r>
    </w:p>
    <w:p>
      <w:pPr>
        <w:spacing w:before="80" w:after="20"/>
      </w:pPr>
      <w:r>
        <w:rPr>
          <w:rFonts w:ascii="Times New Roman" w:hAnsi="Times New Roman"/>
          <w:b/>
          <w:i/>
          <w:sz w:val="18"/>
        </w:rPr>
        <w:t>B. Month 1-2: NVD CVE 2.0 API &amp; Knowledge Graph Mapping (Weeks 4-7)</w:t>
      </w:r>
    </w:p>
    <w:p>
      <w:pPr>
        <w:spacing w:before="0" w:after="80"/>
        <w:jc w:val="both"/>
      </w:pPr>
      <w:r>
        <w:rPr>
          <w:rFonts w:ascii="Times New Roman" w:hAnsi="Times New Roman"/>
          <w:sz w:val="18"/>
        </w:rPr>
        <w:t>Sprint 2 integrates on-demand CVE lookups via the NIST NVD 2.0 REST API to retrieve CVSS base scores, CWE associations, and affected vendor configurations. In parallel, an entity graph layer will link MITRE ATT&amp;CK techniques to their corresponding CWE weaknesses and CVE manifestations, allowing analysts to perform multi-hop reasoning across taxonomy boundaries.</w:t>
      </w:r>
    </w:p>
    <w:p>
      <w:pPr>
        <w:spacing w:before="80" w:after="20"/>
      </w:pPr>
      <w:r>
        <w:rPr>
          <w:rFonts w:ascii="Times New Roman" w:hAnsi="Times New Roman"/>
          <w:b/>
          <w:i/>
          <w:sz w:val="18"/>
        </w:rPr>
        <w:t>C. Month 2: CAPEC Pattern Ingestion &amp; RAGAS Evaluation (Weeks 7-9)</w:t>
      </w:r>
    </w:p>
    <w:p>
      <w:pPr>
        <w:spacing w:before="0" w:after="80"/>
        <w:jc w:val="both"/>
      </w:pPr>
      <w:r>
        <w:rPr>
          <w:rFonts w:ascii="Times New Roman" w:hAnsi="Times New Roman"/>
          <w:sz w:val="18"/>
        </w:rPr>
        <w:t>Sprint 3 ingests the MITRE CAPEC (~660 Common Attack Pattern Enumerations) XML catalog into Qdrant with bidirectional CWE cross-references. To guarantee objective system reliability, the RAGAS (Retrieval Augmented Generation Assessment) automated evaluation framework will be embedded into the GitHub Actions CI pipeline, monitoring faithfulness, answer relevance, and context precision on an expanded 100-question benchmark.</w:t>
      </w:r>
    </w:p>
    <w:p>
      <w:pPr>
        <w:spacing w:before="80" w:after="20"/>
      </w:pPr>
      <w:r>
        <w:rPr>
          <w:rFonts w:ascii="Times New Roman" w:hAnsi="Times New Roman"/>
          <w:b/>
          <w:i/>
          <w:sz w:val="18"/>
        </w:rPr>
        <w:t>D. Month 2.5: SOC Threat Report Export (Week 10)</w:t>
      </w:r>
    </w:p>
    <w:p>
      <w:pPr>
        <w:spacing w:before="0" w:after="80"/>
        <w:jc w:val="both"/>
      </w:pPr>
      <w:r>
        <w:rPr>
          <w:rFonts w:ascii="Times New Roman" w:hAnsi="Times New Roman"/>
          <w:sz w:val="18"/>
        </w:rPr>
        <w:t>The final sprint implements automated SOC-ready export functionality, enabling security analysts to download complete Q&amp;A investigation sessions as professional PDF executive summaries or Markdown advisories formatted with inline citations, identified ATT&amp;CK technique tables, and actionable mitigation checklists.</w:t>
      </w:r>
    </w:p>
    <w:p>
      <w:pPr>
        <w:spacing w:before="160" w:after="40"/>
        <w:jc w:val="left"/>
      </w:pPr>
      <w:r>
        <w:rPr>
          <w:rFonts w:ascii="Times New Roman" w:hAnsi="Times New Roman"/>
          <w:b/>
          <w:sz w:val="20"/>
        </w:rPr>
        <w:t>VII. CONCLUSION</w:t>
      </w:r>
    </w:p>
    <w:p>
      <w:pPr>
        <w:spacing w:before="0" w:after="80"/>
        <w:jc w:val="both"/>
      </w:pPr>
      <w:r>
        <w:rPr>
          <w:rFonts w:ascii="Times New Roman" w:hAnsi="Times New Roman"/>
          <w:sz w:val="18"/>
        </w:rPr>
        <w:t>CyberSense demonstrates that domain-specific RAG systems substantially outperform general-purpose LLMs on cybersecurity knowledge synthesis tasks, particularly for factual accuracy, source citation, and hallucination resistance. The zero-cost production deployment validates that advanced AI-powered security tooling is accessible to academic use cases without infrastructure investment. The 2.5-month roadmap extends the system with live threat intelligence, graph-based reasoning, automated evaluation, and SOC-grade export capabilities.</w:t>
      </w:r>
    </w:p>
    <w:p>
      <w:pPr>
        <w:spacing w:before="160" w:after="40"/>
        <w:jc w:val="left"/>
      </w:pPr>
      <w:r>
        <w:rPr>
          <w:rFonts w:ascii="Times New Roman" w:hAnsi="Times New Roman"/>
          <w:b/>
          <w:sz w:val="20"/>
        </w:rPr>
        <w:t>. REFERENCES</w:t>
      </w:r>
    </w:p>
    <w:p>
      <w:pPr>
        <w:spacing w:after="40"/>
        <w:ind w:hanging="283" w:left="283"/>
        <w:jc w:val="both"/>
      </w:pPr>
      <w:r>
        <w:rPr>
          <w:rFonts w:ascii="Times New Roman" w:hAnsi="Times New Roman"/>
          <w:sz w:val="16"/>
        </w:rPr>
        <w:t>[1] P. Lewis et al., "Retrieval-Augmented Generation for Knowledge-Intensive NLP Tasks," NeurIPS, 2020.</w:t>
      </w:r>
    </w:p>
    <w:p>
      <w:pPr>
        <w:spacing w:after="40"/>
        <w:ind w:hanging="283" w:left="283"/>
        <w:jc w:val="both"/>
      </w:pPr>
      <w:r>
        <w:rPr>
          <w:rFonts w:ascii="Times New Roman" w:hAnsi="Times New Roman"/>
          <w:sz w:val="16"/>
        </w:rPr>
        <w:t>[2] V. Karpukhin et al., "Dense Passage Retrieval for Open-Domain QA," EMNLP, 2020.</w:t>
      </w:r>
    </w:p>
    <w:p>
      <w:pPr>
        <w:spacing w:after="40"/>
        <w:ind w:hanging="283" w:left="283"/>
        <w:jc w:val="both"/>
      </w:pPr>
      <w:r>
        <w:rPr>
          <w:rFonts w:ascii="Times New Roman" w:hAnsi="Times New Roman"/>
          <w:sz w:val="16"/>
        </w:rPr>
        <w:t>[3] J. Johnson, M. Douze, H. Jegou, "Billion-scale similarity search with GPUs," IEEE Trans. Big Data, 2021.</w:t>
      </w:r>
    </w:p>
    <w:p>
      <w:pPr>
        <w:spacing w:after="40"/>
        <w:ind w:hanging="283" w:left="283"/>
        <w:jc w:val="both"/>
      </w:pPr>
      <w:r>
        <w:rPr>
          <w:rFonts w:ascii="Times New Roman" w:hAnsi="Times New Roman"/>
          <w:sz w:val="16"/>
        </w:rPr>
        <w:t>[4] G. Izacard, E. Grave, "Leveraging Passage Retrieval with Generative Models for ODQA," EACL, 2021.</w:t>
      </w:r>
    </w:p>
    <w:p>
      <w:pPr>
        <w:spacing w:after="40"/>
        <w:ind w:hanging="283" w:left="283"/>
        <w:jc w:val="both"/>
      </w:pPr>
      <w:r>
        <w:rPr>
          <w:rFonts w:ascii="Times New Roman" w:hAnsi="Times New Roman"/>
          <w:sz w:val="16"/>
        </w:rPr>
        <w:t>[5] MITRE, "ATT&amp;CK Navigator," https://mitre-attack.github.io/attack-navigator/, 2024.</w:t>
      </w:r>
    </w:p>
    <w:p>
      <w:pPr>
        <w:spacing w:after="40"/>
        <w:ind w:hanging="283" w:left="283"/>
        <w:jc w:val="both"/>
      </w:pPr>
      <w:r>
        <w:rPr>
          <w:rFonts w:ascii="Times New Roman" w:hAnsi="Times New Roman"/>
          <w:sz w:val="16"/>
        </w:rPr>
        <w:t>[6] Y. Luan et al., "Sparse, Dense, and Attentional Representations for Text Retrieval," TACL, 2021.</w:t>
      </w:r>
    </w:p>
    <w:p>
      <w:pPr>
        <w:spacing w:after="40"/>
        <w:ind w:hanging="283" w:left="283"/>
        <w:jc w:val="both"/>
      </w:pPr>
      <w:r>
        <w:rPr>
          <w:rFonts w:ascii="Times New Roman" w:hAnsi="Times New Roman"/>
          <w:sz w:val="16"/>
        </w:rPr>
        <w:t>[7] G. V. Cormack et al., "Reciprocal rank fusion outperforms condorcet and individual rank learning methods," ACM SIGIR, 2009.</w:t>
      </w:r>
    </w:p>
    <w:p>
      <w:pPr>
        <w:spacing w:after="40"/>
        <w:ind w:hanging="283" w:left="283"/>
        <w:jc w:val="both"/>
      </w:pPr>
      <w:r>
        <w:rPr>
          <w:rFonts w:ascii="Times New Roman" w:hAnsi="Times New Roman"/>
          <w:sz w:val="16"/>
        </w:rPr>
        <w:t>[8] BAAI, "BGE Embedding Models," https://huggingface.co/BAAI/bge-small-en-v1.5, 2023.</w:t>
      </w:r>
    </w:p>
    <w:p>
      <w:pPr>
        <w:spacing w:after="40"/>
        <w:ind w:hanging="283" w:left="283"/>
        <w:jc w:val="both"/>
      </w:pPr>
      <w:r>
        <w:rPr>
          <w:rFonts w:ascii="Times New Roman" w:hAnsi="Times New Roman"/>
          <w:sz w:val="16"/>
        </w:rPr>
        <w:t>[9] CISA, "Known Exploited Vulnerabilities Catalog," https://www.cisa.gov/kev, 2024.</w:t>
      </w:r>
    </w:p>
    <w:p>
      <w:pPr>
        <w:spacing w:after="40"/>
        <w:ind w:hanging="283" w:left="283"/>
        <w:jc w:val="both"/>
      </w:pPr>
      <w:r>
        <w:rPr>
          <w:rFonts w:ascii="Times New Roman" w:hAnsi="Times New Roman"/>
          <w:sz w:val="16"/>
        </w:rPr>
        <w:t>[10] NIST, "NVD CVE 2.0 API," https://nvd.nist.gov/developers, 2024.</w:t>
      </w:r>
    </w:p>
    <w:sectPr w:rsidR="00FC693F" w:rsidRPr="0006063C" w:rsidSect="00034616">
      <w:type w:val="continuous"/>
      <w:pgSz w:w="12240" w:h="15840"/>
      <w:pgMar w:top="1077" w:right="964" w:bottom="1440" w:left="964" w:header="720" w:footer="720" w:gutter="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