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CPE ANALYST DESK</w:t>
      </w:r>
    </w:p>
    <w:p>
      <w:pPr>
        <w:jc w:val="center"/>
      </w:pPr>
      <w:r>
        <w:rPr>
          <w:i/>
          <w:color w:val="595959"/>
          <w:sz w:val="22"/>
        </w:rPr>
        <w:t>Standard Operating Procedure – v1.0 | Effective November 2026</w:t>
      </w:r>
    </w:p>
    <w:p/>
    <w:p>
      <w:pPr>
        <w:pStyle w:val="Heading1"/>
      </w:pPr>
      <w:r>
        <w:rPr>
          <w:color w:val="1F3864"/>
        </w:rPr>
        <w:t>1. Purpose</w:t>
      </w:r>
    </w:p>
    <w:p>
      <w:pPr>
        <w:spacing w:after="80"/>
      </w:pPr>
      <w:r>
        <w:t>This SOP governs the end-to-end process for receiving, reviewing, approving, recording, and communicating Continuing Professional Education (CPE) credit requests submitted by instructors and training providers. All procedures align with NASBA-style guidelines.</w:t>
      </w:r>
    </w:p>
    <w:p>
      <w:pPr>
        <w:pStyle w:val="Heading1"/>
      </w:pPr>
      <w:r>
        <w:rPr>
          <w:color w:val="1F3864"/>
        </w:rPr>
        <w:t>2. Scope</w:t>
      </w:r>
    </w:p>
    <w:p>
      <w:pPr>
        <w:spacing w:after="80"/>
      </w:pPr>
      <w:r>
        <w:t>All CPE submissions received monthly from up to fifty instructors and teams, covering webinars, classroom sessions, and e-learning programs (Group and Self-study delivery methods).</w:t>
      </w:r>
    </w:p>
    <w:p>
      <w:pPr>
        <w:pStyle w:val="Heading1"/>
      </w:pPr>
      <w:r>
        <w:rPr>
          <w:color w:val="1F3864"/>
        </w:rPr>
        <w:t>3.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92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92"/>
          </w:tcPr>
          <w:p>
            <w:r>
              <w:t>CPE Analyst</w:t>
            </w:r>
          </w:p>
        </w:tc>
        <w:tc>
          <w:tcPr>
            <w:tcW w:type="dxa" w:w="4392"/>
          </w:tcPr>
          <w:p>
            <w:r>
              <w:t>Primary point of contact; owns intake, review, credit calculation, and communications.</w:t>
            </w:r>
          </w:p>
        </w:tc>
      </w:tr>
      <w:tr>
        <w:tc>
          <w:tcPr>
            <w:tcW w:type="dxa" w:w="4392"/>
          </w:tcPr>
          <w:p>
            <w:r>
              <w:t>Senior Reviewer</w:t>
            </w:r>
          </w:p>
        </w:tc>
        <w:tc>
          <w:tcPr>
            <w:tcW w:type="dxa" w:w="4392"/>
          </w:tcPr>
          <w:p>
            <w:r>
              <w:t>Reviews escalations, complaints, and edge cases within 10 business days.</w:t>
            </w:r>
          </w:p>
        </w:tc>
      </w:tr>
      <w:tr>
        <w:tc>
          <w:tcPr>
            <w:tcW w:type="dxa" w:w="4392"/>
          </w:tcPr>
          <w:p>
            <w:r>
              <w:t>CPE Committee</w:t>
            </w:r>
          </w:p>
        </w:tc>
        <w:tc>
          <w:tcPr>
            <w:tcW w:type="dxa" w:w="4392"/>
          </w:tcPr>
          <w:p>
            <w:r>
              <w:t>Final arbitration on disputes not resolved by Senior Reviewer.</w:t>
            </w:r>
          </w:p>
        </w:tc>
      </w:tr>
      <w:tr>
        <w:tc>
          <w:tcPr>
            <w:tcW w:type="dxa" w:w="4392"/>
          </w:tcPr>
          <w:p>
            <w:r>
              <w:t>Instructor/Provider</w:t>
            </w:r>
          </w:p>
        </w:tc>
        <w:tc>
          <w:tcPr>
            <w:tcW w:type="dxa" w:w="4392"/>
          </w:tcPr>
          <w:p>
            <w:r>
              <w:t>Submits request form; responds to correction or information requests.</w:t>
            </w:r>
          </w:p>
        </w:tc>
      </w:tr>
    </w:tbl>
    <w:p/>
    <w:p>
      <w:pPr>
        <w:pStyle w:val="Heading1"/>
      </w:pPr>
      <w:r>
        <w:rPr>
          <w:color w:val="1F3864"/>
        </w:rPr>
        <w:t>4. Process Overview</w:t>
      </w:r>
    </w:p>
    <w:p>
      <w:pPr>
        <w:pStyle w:val="ListNumber"/>
      </w:pPr>
      <w:r>
        <w:rPr>
          <w:b/>
          <w:color w:val="2E75B6"/>
        </w:rPr>
        <w:t xml:space="preserve">Intake &amp; Logging: </w:t>
      </w:r>
      <w:r>
        <w:rPr>
          <w:sz w:val="20"/>
        </w:rPr>
        <w:t>Log all fields in the Requests sheet: ID, title, instructor, dates, method, duration, FOS, level, objectives, attendance, review Qs, prerequisites.</w:t>
      </w:r>
    </w:p>
    <w:p>
      <w:pPr>
        <w:pStyle w:val="ListNumber"/>
      </w:pPr>
      <w:r>
        <w:rPr>
          <w:b/>
          <w:color w:val="2E75B6"/>
        </w:rPr>
        <w:t xml:space="preserve">Completeness Check: </w:t>
      </w:r>
      <w:r>
        <w:rPr>
          <w:sz w:val="20"/>
        </w:rPr>
        <w:t>Verify required fields (FOS, Program Level, Delivery Method, Prerequisites) are not blank.</w:t>
      </w:r>
    </w:p>
    <w:p>
      <w:pPr>
        <w:pStyle w:val="ListNumber"/>
      </w:pPr>
      <w:r>
        <w:rPr>
          <w:b/>
          <w:color w:val="2E75B6"/>
        </w:rPr>
        <w:t xml:space="preserve">Learning Objectives: </w:t>
      </w:r>
      <w:r>
        <w:rPr>
          <w:sz w:val="20"/>
        </w:rPr>
        <w:t>Check Obj Count ≥ ROUNDUP(Duration/50 × 3, 0). Flag Needs Correction if below minimum.</w:t>
      </w:r>
    </w:p>
    <w:p>
      <w:pPr>
        <w:pStyle w:val="ListNumber"/>
      </w:pPr>
      <w:r>
        <w:rPr>
          <w:b/>
          <w:color w:val="2E75B6"/>
        </w:rPr>
        <w:t xml:space="preserve">Attendance Checks: </w:t>
      </w:r>
      <w:r>
        <w:rPr>
          <w:sz w:val="20"/>
        </w:rPr>
        <w:t>For Group programs: verify checks ≥ ROUNDUP(Duration/50 × 3, 0). Self-study: N/A.</w:t>
      </w:r>
    </w:p>
    <w:p>
      <w:pPr>
        <w:pStyle w:val="ListNumber"/>
      </w:pPr>
      <w:r>
        <w:rPr>
          <w:b/>
          <w:color w:val="2E75B6"/>
        </w:rPr>
        <w:t xml:space="preserve">Review Questions: </w:t>
      </w:r>
      <w:r>
        <w:rPr>
          <w:sz w:val="20"/>
        </w:rPr>
        <w:t>For Self-study: verify review questions ≥ Credits × 3. Verify current NASBA standard before citing publicly.</w:t>
      </w:r>
    </w:p>
    <w:p>
      <w:pPr>
        <w:pStyle w:val="ListNumber"/>
      </w:pPr>
      <w:r>
        <w:rPr>
          <w:b/>
          <w:color w:val="2E75B6"/>
        </w:rPr>
        <w:t xml:space="preserve">Credit Calculation: </w:t>
      </w:r>
      <w:r>
        <w:rPr>
          <w:sz w:val="20"/>
        </w:rPr>
        <w:t>Use Credit Calculator sheet. Group → FLOOR(min/50, 0.5). Self-study → ROUNDDOWN(min/50×5,0)/5.</w:t>
      </w:r>
    </w:p>
    <w:p>
      <w:pPr>
        <w:pStyle w:val="ListNumber"/>
      </w:pPr>
      <w:r>
        <w:rPr>
          <w:b/>
          <w:color w:val="2E75B6"/>
        </w:rPr>
        <w:t xml:space="preserve">Decision &amp; Recording: </w:t>
      </w:r>
      <w:r>
        <w:rPr>
          <w:sz w:val="20"/>
        </w:rPr>
        <w:t>Enter Approved / Needs Correction / Escalate in Review sheet with reason codes.</w:t>
      </w:r>
    </w:p>
    <w:p>
      <w:pPr>
        <w:pStyle w:val="ListNumber"/>
      </w:pPr>
      <w:r>
        <w:rPr>
          <w:b/>
          <w:color w:val="2E75B6"/>
        </w:rPr>
        <w:t xml:space="preserve">Communication: </w:t>
      </w:r>
      <w:r>
        <w:rPr>
          <w:sz w:val="20"/>
        </w:rPr>
        <w:t>Send appropriate email template within SLA. Attach correction details or approval notice.</w:t>
      </w:r>
    </w:p>
    <w:p>
      <w:pPr>
        <w:pStyle w:val="ListNumber"/>
      </w:pPr>
      <w:r>
        <w:rPr>
          <w:b/>
          <w:color w:val="2E75B6"/>
        </w:rPr>
        <w:t xml:space="preserve">Certificate Issuance: </w:t>
      </w:r>
      <w:r>
        <w:rPr>
          <w:sz w:val="20"/>
        </w:rPr>
        <w:t>For Approved records: export Certificates sheet; run Word mail merge; distribute within 5 days.</w:t>
      </w:r>
    </w:p>
    <w:p>
      <w:pPr>
        <w:pStyle w:val="ListNumber"/>
      </w:pPr>
      <w:r>
        <w:rPr>
          <w:b/>
          <w:color w:val="2E75B6"/>
        </w:rPr>
        <w:t xml:space="preserve">Dashboard Refresh: </w:t>
      </w:r>
      <w:r>
        <w:rPr>
          <w:sz w:val="20"/>
        </w:rPr>
        <w:t>Update Dashboard weekly; report KPIs monthly to manager (status breakdown, rejection reasons, reviewer workload).</w:t>
      </w:r>
    </w:p>
    <w:p>
      <w:pPr>
        <w:pStyle w:val="Heading1"/>
      </w:pPr>
      <w:r>
        <w:rPr>
          <w:color w:val="1F3864"/>
        </w:rPr>
        <w:t>5. SLA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4392"/>
          </w:tcPr>
          <w:p>
            <w:r>
              <w:rPr>
                <w:b/>
              </w:rPr>
              <w:t>Target Turnaround</w:t>
            </w:r>
          </w:p>
        </w:tc>
      </w:tr>
      <w:tr>
        <w:tc>
          <w:tcPr>
            <w:tcW w:type="dxa" w:w="4392"/>
          </w:tcPr>
          <w:p>
            <w:r>
              <w:t>Initial Review</w:t>
            </w:r>
          </w:p>
        </w:tc>
        <w:tc>
          <w:tcPr>
            <w:tcW w:type="dxa" w:w="4392"/>
          </w:tcPr>
          <w:p>
            <w:r>
              <w:t>5 business days from submission date</w:t>
            </w:r>
          </w:p>
        </w:tc>
      </w:tr>
      <w:tr>
        <w:tc>
          <w:tcPr>
            <w:tcW w:type="dxa" w:w="4392"/>
          </w:tcPr>
          <w:p>
            <w:r>
              <w:t>Correction Response</w:t>
            </w:r>
          </w:p>
        </w:tc>
        <w:tc>
          <w:tcPr>
            <w:tcW w:type="dxa" w:w="4392"/>
          </w:tcPr>
          <w:p>
            <w:r>
              <w:t>3 business days after instructor reply received</w:t>
            </w:r>
          </w:p>
        </w:tc>
      </w:tr>
      <w:tr>
        <w:tc>
          <w:tcPr>
            <w:tcW w:type="dxa" w:w="4392"/>
          </w:tcPr>
          <w:p>
            <w:r>
              <w:t>Certificate Issuance</w:t>
            </w:r>
          </w:p>
        </w:tc>
        <w:tc>
          <w:tcPr>
            <w:tcW w:type="dxa" w:w="4392"/>
          </w:tcPr>
          <w:p>
            <w:r>
              <w:t>5 business days after approval decision</w:t>
            </w:r>
          </w:p>
        </w:tc>
      </w:tr>
      <w:tr>
        <w:tc>
          <w:tcPr>
            <w:tcW w:type="dxa" w:w="4392"/>
          </w:tcPr>
          <w:p>
            <w:r>
              <w:t>Escalation Resolution</w:t>
            </w:r>
          </w:p>
        </w:tc>
        <w:tc>
          <w:tcPr>
            <w:tcW w:type="dxa" w:w="4392"/>
          </w:tcPr>
          <w:p>
            <w:r>
              <w:t>10 business days</w:t>
            </w:r>
          </w:p>
        </w:tc>
      </w:tr>
      <w:tr>
        <w:tc>
          <w:tcPr>
            <w:tcW w:type="dxa" w:w="4392"/>
          </w:tcPr>
          <w:p>
            <w:r>
              <w:t>Complaint Reply</w:t>
            </w:r>
          </w:p>
        </w:tc>
        <w:tc>
          <w:tcPr>
            <w:tcW w:type="dxa" w:w="4392"/>
          </w:tcPr>
          <w:p>
            <w:r>
              <w:t>3 business days for acknowledgement; 10 for resolution</w:t>
            </w:r>
          </w:p>
        </w:tc>
      </w:tr>
    </w:tbl>
    <w:p/>
    <w:p>
      <w:pPr>
        <w:pStyle w:val="Heading1"/>
      </w:pPr>
      <w:r>
        <w:rPr>
          <w:color w:val="1F3864"/>
        </w:rPr>
        <w:t>6. Decision Logic (NASBA-Style)</w:t>
      </w:r>
    </w:p>
    <w:p>
      <w:pPr>
        <w:spacing w:after="80"/>
      </w:pPr>
      <w:r>
        <w:t>Approved          – All checks pass: objectives, attendance/review Qs, FOS, program level, delivery method.</w:t>
      </w:r>
    </w:p>
    <w:p>
      <w:pPr>
        <w:spacing w:after="80"/>
      </w:pPr>
      <w:r>
        <w:t>Needs Correction  – One or more fixable deficiencies (e.g., too few objectives, missing attendance records). Instructor must resubmit.</w:t>
      </w:r>
    </w:p>
    <w:p>
      <w:pPr>
        <w:spacing w:after="80"/>
      </w:pPr>
      <w:r>
        <w:t>Escalate          – Judgment-call issues (e.g., ambiguous FOS, duration discrepancy, policy interpretation, complaints). Refer to Senior Reviewer.</w:t>
      </w:r>
    </w:p>
    <w:p>
      <w:pPr>
        <w:pStyle w:val="Heading1"/>
      </w:pPr>
      <w:r>
        <w:rPr>
          <w:color w:val="1F3864"/>
        </w:rPr>
        <w:t>7. Key Rules (NASBA-Style – see Rules Sheet)</w:t>
      </w:r>
    </w:p>
    <w:p>
      <w:pPr>
        <w:pStyle w:val="ListBullet"/>
        <w:spacing w:after="80"/>
      </w:pPr>
      <w:r>
        <w:t>Learning Objectives: minimum 3 per 50 minutes of content (IASA / NASBA).</w:t>
      </w:r>
    </w:p>
    <w:p>
      <w:pPr>
        <w:pStyle w:val="ListBullet"/>
        <w:spacing w:after="80"/>
      </w:pPr>
      <w:r>
        <w:t>Attendance Checks (Group, technology-based): minimum 3 per 50-minute credit hour.</w:t>
      </w:r>
    </w:p>
    <w:p>
      <w:pPr>
        <w:pStyle w:val="ListBullet"/>
        <w:spacing w:after="80"/>
      </w:pPr>
      <w:r>
        <w:t>Review Questions (Self-study): minimum 3 per credit hour (verify vs. current NASBA self-study standard).</w:t>
      </w:r>
    </w:p>
    <w:p>
      <w:pPr>
        <w:pStyle w:val="ListBullet"/>
        <w:spacing w:after="80"/>
      </w:pPr>
      <w:r>
        <w:t>Credit Rounding (Group): FLOOR(min ÷ 50, 0.5) — half-credit increments.</w:t>
      </w:r>
    </w:p>
    <w:p>
      <w:pPr>
        <w:pStyle w:val="ListBullet"/>
        <w:spacing w:after="80"/>
      </w:pPr>
      <w:r>
        <w:t>Credit Rounding (Self-study / alt): ROUNDDOWN(min ÷ 50 × 5, 0) ÷ 5 — fifth-credit increments.</w:t>
      </w:r>
    </w:p>
    <w:p>
      <w:pPr>
        <w:pStyle w:val="ListBullet"/>
        <w:spacing w:after="80"/>
      </w:pPr>
      <w:r>
        <w:t>Minimum duration: 25 min for any credit (half-credit); 50 min for fifth-credit rounding.</w:t>
      </w:r>
    </w:p>
    <w:p>
      <w:pPr>
        <w:pStyle w:val="Heading1"/>
      </w:pPr>
      <w:r>
        <w:rPr>
          <w:color w:val="1F3864"/>
        </w:rPr>
        <w:t>8. Records Retention</w:t>
      </w:r>
    </w:p>
    <w:p>
      <w:pPr>
        <w:spacing w:after="80"/>
      </w:pPr>
      <w:r>
        <w:t>All approved submissions, certificates, review records, and correspondence must be retained for a minimum of 7 years per firm records policy and applicable regulatory requirements.</w:t>
      </w:r>
    </w:p>
    <w:p>
      <w:pPr>
        <w:pStyle w:val="Heading1"/>
      </w:pPr>
      <w:r>
        <w:rPr>
          <w:color w:val="1F3864"/>
        </w:rPr>
        <w:t>9. Escalation Path</w:t>
      </w:r>
    </w:p>
    <w:p>
      <w:pPr>
        <w:spacing w:after="80"/>
      </w:pPr>
      <w:r>
        <w:t>CPE Analyst  →  Senior Reviewer (within 2 business days of identification)  →  CPE Committee (if unresolved within 10 business days).</w:t>
      </w:r>
    </w:p>
    <w:p>
      <w:pPr>
        <w:pStyle w:val="Heading1"/>
      </w:pPr>
      <w:r>
        <w:rPr>
          <w:color w:val="1F3864"/>
        </w:rPr>
        <w:t>10.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9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928"/>
          </w:tcPr>
          <w:p>
            <w:r>
              <w:t>1.0</w:t>
            </w:r>
          </w:p>
        </w:tc>
        <w:tc>
          <w:tcPr>
            <w:tcW w:type="dxa" w:w="2928"/>
          </w:tcPr>
          <w:p>
            <w:r>
              <w:t>November 2026</w:t>
            </w:r>
          </w:p>
        </w:tc>
        <w:tc>
          <w:tcPr>
            <w:tcW w:type="dxa" w:w="2928"/>
          </w:tcPr>
          <w:p>
            <w:r>
              <w:t>Initial release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