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color w:val="1F3864"/>
          <w:sz w:val="28"/>
          <w:szCs w:val="28"/>
        </w:rPr>
        <w:t xml:space="preserve">AICTE | IBM SkillsBuild</w:t>
      </w:r>
    </w:p>
    <w:p>
      <w:pPr>
        <w:spacing w:after="60" w:before="0"/>
        <w:jc w:val="center"/>
      </w:pPr>
      <w:r>
        <w:rPr>
          <w:rFonts w:ascii="Calibri" w:cs="Calibri" w:eastAsia="Calibri" w:hAnsi="Calibri"/>
          <w:color w:val="1F3864"/>
          <w:sz w:val="26"/>
          <w:szCs w:val="26"/>
        </w:rPr>
        <w:t xml:space="preserve">Data Analytics with AI Internship 2026</w:t>
      </w:r>
    </w:p>
    <w:p>
      <w:pPr>
        <w:pBdr>
          <w:bottom w:val="single" w:color="1F3864" w:sz="12" w:space="1"/>
        </w:pBdr>
        <w:spacing w:after="200" w:before="200"/>
      </w:pPr>
    </w:p>
    <w:p>
      <w:pPr>
        <w:spacing w:after="300" w:before="500"/>
        <w:jc w:val="center"/>
      </w:pPr>
      <w:r>
        <w:rPr>
          <w:rFonts w:ascii="Calibri" w:cs="Calibri" w:eastAsia="Calibri" w:hAnsi="Calibri"/>
          <w:b/>
          <w:bCs/>
          <w:color w:val="595959"/>
          <w:sz w:val="22"/>
          <w:szCs w:val="22"/>
        </w:rPr>
        <w:t xml:space="preserve">PROJECT REPORT</w:t>
      </w:r>
    </w:p>
    <w:p>
      <w:pPr>
        <w:spacing w:after="60" w:before="0"/>
        <w:jc w:val="center"/>
      </w:pPr>
      <w:r>
        <w:rPr>
          <w:rFonts w:ascii="Calibri" w:cs="Calibri" w:eastAsia="Calibri" w:hAnsi="Calibri"/>
          <w:b/>
          <w:bCs/>
          <w:color w:val="1F3864"/>
          <w:sz w:val="48"/>
          <w:szCs w:val="48"/>
        </w:rPr>
        <w:t xml:space="preserve">FlightPath to Loyalty:</w:t>
      </w:r>
    </w:p>
    <w:p>
      <w:pPr>
        <w:spacing w:after="400" w:before="0"/>
        <w:jc w:val="center"/>
      </w:pPr>
      <w:r>
        <w:rPr>
          <w:rFonts w:ascii="Calibri" w:cs="Calibri" w:eastAsia="Calibri" w:hAnsi="Calibri"/>
          <w:b/>
          <w:bCs/>
          <w:color w:val="1F3864"/>
          <w:sz w:val="34"/>
          <w:szCs w:val="34"/>
        </w:rPr>
        <w:t xml:space="preserve">Predictive Modeling and Driver Analysis of Airline Passenger Satisfaction</w:t>
      </w:r>
    </w:p>
    <w:p>
      <w:pPr>
        <w:spacing w:after="900" w:before="0"/>
        <w:jc w:val="center"/>
      </w:pPr>
      <w:r>
        <w:rPr>
          <w:rFonts w:ascii="Calibri" w:cs="Calibri" w:eastAsia="Calibri" w:hAnsi="Calibri"/>
          <w:i/>
          <w:iCs/>
          <w:color w:val="595959"/>
          <w:sz w:val="22"/>
          <w:szCs w:val="22"/>
        </w:rPr>
        <w:t xml:space="preserve">Airline Passenger Satisfaction Survey  |  129,880 records  |  24 attributes</w:t>
      </w:r>
    </w:p>
    <w:p>
      <w:pPr>
        <w:pBdr>
          <w:bottom w:val="single" w:color="1F3864" w:sz="12" w:space="1"/>
        </w:pBdr>
        <w:spacing w:after="200" w:before="200"/>
      </w:pPr>
    </w:p>
    <w:p>
      <w:pPr>
        <w:spacing w:after="60" w:before="300"/>
        <w:jc w:val="center"/>
      </w:pPr>
      <w:r>
        <w:rPr>
          <w:rFonts w:ascii="Calibri" w:cs="Calibri" w:eastAsia="Calibri" w:hAnsi="Calibri"/>
          <w:color w:val="595959"/>
          <w:sz w:val="22"/>
          <w:szCs w:val="22"/>
        </w:rPr>
        <w:t xml:space="preserve">Submitted by</w:t>
      </w:r>
    </w:p>
    <w:p>
      <w:pPr>
        <w:spacing w:after="300" w:before="0"/>
        <w:jc w:val="center"/>
      </w:pPr>
      <w:r>
        <w:rPr>
          <w:rFonts w:ascii="Calibri" w:cs="Calibri" w:eastAsia="Calibri" w:hAnsi="Calibri"/>
          <w:b/>
          <w:bCs/>
          <w:sz w:val="32"/>
          <w:szCs w:val="32"/>
        </w:rPr>
        <w:t xml:space="preserve">Piyush</w:t>
      </w:r>
    </w:p>
    <w:p>
      <w:pPr>
        <w:spacing w:after="60" w:before="0"/>
        <w:jc w:val="center"/>
      </w:pPr>
      <w:r>
        <w:rPr>
          <w:rFonts w:ascii="Calibri" w:cs="Calibri" w:eastAsia="Calibri" w:hAnsi="Calibri"/>
          <w:color w:val="595959"/>
          <w:sz w:val="22"/>
          <w:szCs w:val="22"/>
        </w:rPr>
        <w:t xml:space="preserve">Internship Program</w:t>
      </w:r>
    </w:p>
    <w:p>
      <w:pPr>
        <w:spacing w:after="300" w:before="0"/>
        <w:jc w:val="center"/>
      </w:pPr>
      <w:r>
        <w:rPr>
          <w:rFonts w:ascii="Calibri" w:cs="Calibri" w:eastAsia="Calibri" w:hAnsi="Calibri"/>
          <w:b/>
          <w:bCs/>
          <w:sz w:val="24"/>
          <w:szCs w:val="24"/>
        </w:rPr>
        <w:t xml:space="preserve">AICTE | IBM SkillsBuild Data Analytics with AI Internship 2026</w:t>
      </w:r>
    </w:p>
    <w:p>
      <w:pPr>
        <w:spacing w:after="120" w:before="300"/>
        <w:jc w:val="center"/>
      </w:pPr>
      <w:r>
        <w:rPr>
          <w:rFonts w:ascii="Calibri" w:cs="Calibri" w:eastAsia="Calibri" w:hAnsi="Calibri"/>
          <w:color w:val="595959"/>
          <w:sz w:val="20"/>
          <w:szCs w:val="20"/>
        </w:rPr>
        <w:t xml:space="preserve">Tools: Python  •  pandas  •  scikit-learn  •  matplotlib  •  seaborn  •  Streamlit</w:t>
      </w:r>
    </w:p>
    <w:p>
      <w:pPr>
        <w:sectPr>
          <w:pgSz w:w="11906" w:h="16838" w:orient="portrait"/>
          <w:pgMar w:top="1440" w:right="1440" w:bottom="1440" w:left="1440" w:header="708" w:footer="708" w:gutter="0"/>
          <w:pgNumType/>
          <w:docGrid w:linePitch="360"/>
        </w:sectPr>
      </w:pPr>
    </w:p>
    <w:p>
      <w:pPr>
        <w:spacing w:after="24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Abstract / Executive Summary</w:t>
      </w:r>
    </w:p>
    <w:p>
      <w:pPr>
        <w:spacing w:after="140" w:line="300"/>
        <w:jc w:val="both"/>
      </w:pPr>
      <w:r>
        <w:rPr>
          <w:rFonts w:ascii="Times New Roman" w:cs="Times New Roman" w:eastAsia="Times New Roman" w:hAnsi="Times New Roman"/>
          <w:sz w:val="24"/>
          <w:szCs w:val="24"/>
        </w:rPr>
        <w:t xml:space="preserve">Passenger satisfaction is closely tied to an airline’s repeat bookings and retention, yet operational measures such as punctuality alone do not explain why passengers move from dissatisfaction to loyalty. This project analyses </w:t>
      </w:r>
      <w:r>
        <w:rPr>
          <w:rFonts w:ascii="Times New Roman" w:cs="Times New Roman" w:eastAsia="Times New Roman" w:hAnsi="Times New Roman"/>
          <w:b/>
          <w:bCs/>
          <w:sz w:val="24"/>
          <w:szCs w:val="24"/>
        </w:rPr>
        <w:t xml:space="preserve">129,880 airline passenger survey records</w:t>
      </w:r>
      <w:r>
        <w:rPr>
          <w:rFonts w:ascii="Times New Roman" w:cs="Times New Roman" w:eastAsia="Times New Roman" w:hAnsi="Times New Roman"/>
          <w:sz w:val="24"/>
          <w:szCs w:val="24"/>
        </w:rPr>
        <w:t xml:space="preserve"> (24 attributes) to identify the touchpoints, passenger segments and operational conditions most strongly associated with satisfaction, and to build a classifier that predicts whether a passenger is </w:t>
      </w:r>
      <w:r>
        <w:rPr>
          <w:rFonts w:ascii="Times New Roman" w:cs="Times New Roman" w:eastAsia="Times New Roman" w:hAnsi="Times New Roman"/>
          <w:b/>
          <w:bCs/>
          <w:sz w:val="24"/>
          <w:szCs w:val="24"/>
        </w:rPr>
        <w:t xml:space="preserve">Satisfied</w:t>
      </w:r>
      <w:r>
        <w:rPr>
          <w:rFonts w:ascii="Times New Roman" w:cs="Times New Roman" w:eastAsia="Times New Roman" w:hAnsi="Times New Roman"/>
          <w:sz w:val="24"/>
          <w:szCs w:val="24"/>
        </w:rPr>
        <w:t xml:space="preserve"> or </w:t>
      </w:r>
      <w:r>
        <w:rPr>
          <w:rFonts w:ascii="Times New Roman" w:cs="Times New Roman" w:eastAsia="Times New Roman" w:hAnsi="Times New Roman"/>
          <w:b/>
          <w:bCs/>
          <w:sz w:val="24"/>
          <w:szCs w:val="24"/>
        </w:rPr>
        <w:t xml:space="preserve">Neutral/Dissatisfied</w:t>
      </w:r>
      <w:r>
        <w:rPr>
          <w:rFonts w:ascii="Times New Roman" w:cs="Times New Roman" w:eastAsia="Times New Roman" w:hAnsi="Times New Roman"/>
          <w:sz w:val="24"/>
          <w:szCs w:val="24"/>
        </w:rPr>
        <w:t xml:space="preserve">.</w:t>
      </w:r>
    </w:p>
    <w:p>
      <w:pPr>
        <w:spacing w:after="140" w:line="300"/>
        <w:jc w:val="both"/>
      </w:pPr>
      <w:r>
        <w:rPr>
          <w:rFonts w:ascii="Times New Roman" w:cs="Times New Roman" w:eastAsia="Times New Roman" w:hAnsi="Times New Roman"/>
          <w:sz w:val="24"/>
          <w:szCs w:val="24"/>
        </w:rPr>
        <w:t xml:space="preserve">The data was audited, cleaned and processed in a leakage-free scikit-learn pipeline (median imputation of 393 missing Arrival Delay values, one-hot encoding of four categorical variables, standard scaling of numeric variables). An 80/20 stratified split produced 103,904 training and 25,976 test observations. A </w:t>
      </w:r>
      <w:r>
        <w:rPr>
          <w:rFonts w:ascii="Times New Roman" w:cs="Times New Roman" w:eastAsia="Times New Roman" w:hAnsi="Times New Roman"/>
          <w:b/>
          <w:bCs/>
          <w:sz w:val="24"/>
          <w:szCs w:val="24"/>
        </w:rPr>
        <w:t xml:space="preserve">Logistic Regression</w:t>
      </w:r>
      <w:r>
        <w:rPr>
          <w:rFonts w:ascii="Times New Roman" w:cs="Times New Roman" w:eastAsia="Times New Roman" w:hAnsi="Times New Roman"/>
          <w:sz w:val="24"/>
          <w:szCs w:val="24"/>
        </w:rPr>
        <w:t xml:space="preserve"> baseline and a </w:t>
      </w:r>
      <w:r>
        <w:rPr>
          <w:rFonts w:ascii="Times New Roman" w:cs="Times New Roman" w:eastAsia="Times New Roman" w:hAnsi="Times New Roman"/>
          <w:b/>
          <w:bCs/>
          <w:sz w:val="24"/>
          <w:szCs w:val="24"/>
        </w:rPr>
        <w:t xml:space="preserve">Random Forest</w:t>
      </w:r>
      <w:r>
        <w:rPr>
          <w:rFonts w:ascii="Times New Roman" w:cs="Times New Roman" w:eastAsia="Times New Roman" w:hAnsi="Times New Roman"/>
          <w:sz w:val="24"/>
          <w:szCs w:val="24"/>
        </w:rPr>
        <w:t xml:space="preserve"> classifier (100 trees, maximum depth 16) were benchmarked.</w:t>
      </w:r>
    </w:p>
    <w:p>
      <w:pPr>
        <w:pStyle w:val="Heading2"/>
      </w:pPr>
      <w:r>
        <w:t xml:space="preserve">Key results</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Class balance:</w:t>
      </w:r>
      <w:r>
        <w:rPr>
          <w:rFonts w:ascii="Times New Roman" w:cs="Times New Roman" w:eastAsia="Times New Roman" w:hAnsi="Times New Roman"/>
          <w:sz w:val="24"/>
          <w:szCs w:val="24"/>
        </w:rPr>
        <w:t xml:space="preserve"> 43.45% Satisfied (56,428) versus 56.55% Neutral/Dissatisfied (73,452).</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Model performance (test set):</w:t>
      </w:r>
      <w:r>
        <w:rPr>
          <w:rFonts w:ascii="Times New Roman" w:cs="Times New Roman" w:eastAsia="Times New Roman" w:hAnsi="Times New Roman"/>
          <w:sz w:val="24"/>
          <w:szCs w:val="24"/>
        </w:rPr>
        <w:t xml:space="preserve"> Random Forest reached 96.09% accuracy, 96.61% precision, 94.30% recall, 95.44% F1-score and 0.9934 ROC-AUC, against 87.71%, 87.16%, 84.11%, 85.61% and 0.9295 for Logistic Regression.</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Top drivers (Random Forest importance):</w:t>
      </w:r>
      <w:r>
        <w:rPr>
          <w:rFonts w:ascii="Times New Roman" w:cs="Times New Roman" w:eastAsia="Times New Roman" w:hAnsi="Times New Roman"/>
          <w:sz w:val="24"/>
          <w:szCs w:val="24"/>
        </w:rPr>
        <w:t xml:space="preserve"> Online Boarding (18.11%), In-flight Wifi Service (14.60%), Type of Travel – Personal (12.91%), Class – Economy (7.61%), In-flight Entertainment (6.49%) and Seat Comfort (4.89%).</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Rating thresholds:</w:t>
      </w:r>
      <w:r>
        <w:rPr>
          <w:rFonts w:ascii="Times New Roman" w:cs="Times New Roman" w:eastAsia="Times New Roman" w:hAnsi="Times New Roman"/>
          <w:sz w:val="24"/>
          <w:szCs w:val="24"/>
        </w:rPr>
        <w:t xml:space="preserve"> satisfaction with Online Boarding is 11.45%–13.78% at ratings 1–3 but 62.30% at rating 4 and 87.06% at rating 5; for In-flight Wifi it is 24.72%–32.82% at ratings 1–3, 60.08% at rating 4 and 99.02% at rating 5.</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Segment gaps:</w:t>
      </w:r>
      <w:r>
        <w:rPr>
          <w:rFonts w:ascii="Times New Roman" w:cs="Times New Roman" w:eastAsia="Times New Roman" w:hAnsi="Times New Roman"/>
          <w:sz w:val="24"/>
          <w:szCs w:val="24"/>
        </w:rPr>
        <w:t xml:space="preserve"> 69.44% of Business-class passengers are satisfied versus 18.77% in Economy. Returning Business travellers are the most satisfied segment (70.62%) and returning Personal travellers the least (10.10%).</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Delays:</w:t>
      </w:r>
      <w:r>
        <w:rPr>
          <w:rFonts w:ascii="Times New Roman" w:cs="Times New Roman" w:eastAsia="Times New Roman" w:hAnsi="Times New Roman"/>
          <w:sz w:val="24"/>
          <w:szCs w:val="24"/>
        </w:rPr>
        <w:t xml:space="preserve"> the share of dissatisfied passengers rises from 54.06% on on-time departures to 64.15% for delays of 61–180 minutes and then plateaus (64.11% above 180 minutes).</w:t>
      </w:r>
    </w:p>
    <w:p>
      <w:pPr>
        <w:spacing w:after="140" w:before="120" w:line="300"/>
        <w:jc w:val="both"/>
      </w:pPr>
      <w:r>
        <w:rPr>
          <w:rFonts w:ascii="Times New Roman" w:cs="Times New Roman" w:eastAsia="Times New Roman" w:hAnsi="Times New Roman"/>
          <w:sz w:val="24"/>
          <w:szCs w:val="24"/>
        </w:rPr>
        <w:t xml:space="preserve">Based on these findings the report recommends modernising digital boarding, improving in-flight connectivity, improving Economy-cabin comfort, and adopting an automated service-recovery rule driven by predicted dissatisfaction risk. All findings are statistical associations from observational survey data and should be validated (for example through A/B testing) before large-scale rollout.</w:t>
      </w:r>
    </w:p>
    <w:p>
      <w:pPr>
        <w:spacing w:after="140" w:line="30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airline passenger satisfaction, customer experience, classification, Random Forest, Logistic Regression, feature importance, driver analysis.</w:t>
      </w:r>
    </w:p>
    <w:p>
      <w:pPr>
        <w:pStyle w:val="Heading1"/>
        <w:pageBreakBefore/>
      </w:pPr>
      <w:r>
        <w:t xml:space="preserve">1. Problem Statement &amp; Objectives</w:t>
      </w:r>
    </w:p>
    <w:p>
      <w:pPr>
        <w:pStyle w:val="Heading2"/>
      </w:pPr>
      <w:r>
        <w:t xml:space="preserve">1.1 Problem Statement</w:t>
      </w:r>
    </w:p>
    <w:p>
      <w:pPr>
        <w:spacing w:after="140" w:line="300"/>
        <w:jc w:val="both"/>
      </w:pPr>
      <w:r>
        <w:rPr>
          <w:rFonts w:ascii="Times New Roman" w:cs="Times New Roman" w:eastAsia="Times New Roman" w:hAnsi="Times New Roman"/>
          <w:sz w:val="24"/>
          <w:szCs w:val="24"/>
        </w:rPr>
        <w:t xml:space="preserve">Airline profitability and passenger retention depend on the end-to-end travel experience. Airlines routinely track punctuality and operational statistics, but understanding which combination of passenger characteristics, service touchpoints and delays tips a passenger from dissatisfaction to satisfaction requires empirical analysis. The project addresses two questions:</w:t>
      </w:r>
    </w:p>
    <w:p>
      <w:pPr>
        <w:pStyle w:val="ListParagraph"/>
        <w:numPr>
          <w:ilvl w:val="0"/>
          <w:numId w:val="3"/>
        </w:numPr>
        <w:spacing w:after="80" w:line="290"/>
      </w:pPr>
      <w:r>
        <w:rPr>
          <w:rFonts w:ascii="Times New Roman" w:cs="Times New Roman" w:eastAsia="Times New Roman" w:hAnsi="Times New Roman"/>
          <w:b/>
          <w:bCs/>
          <w:sz w:val="24"/>
          <w:szCs w:val="24"/>
        </w:rPr>
        <w:t xml:space="preserve">Diagnostic analytics:</w:t>
      </w:r>
      <w:r>
        <w:rPr>
          <w:rFonts w:ascii="Times New Roman" w:cs="Times New Roman" w:eastAsia="Times New Roman" w:hAnsi="Times New Roman"/>
          <w:sz w:val="24"/>
          <w:szCs w:val="24"/>
        </w:rPr>
        <w:t xml:space="preserve"> Which passenger demographics, travel classes, journey touchpoints (for example online boarding, in-flight Wifi, seat comfort, leg room) and flight delays are most strongly associated with passenger dissatisfaction?</w:t>
      </w:r>
    </w:p>
    <w:p>
      <w:pPr>
        <w:pStyle w:val="ListParagraph"/>
        <w:numPr>
          <w:ilvl w:val="0"/>
          <w:numId w:val="3"/>
        </w:numPr>
        <w:spacing w:after="80" w:line="290"/>
      </w:pPr>
      <w:r>
        <w:rPr>
          <w:rFonts w:ascii="Times New Roman" w:cs="Times New Roman" w:eastAsia="Times New Roman" w:hAnsi="Times New Roman"/>
          <w:b/>
          <w:bCs/>
          <w:sz w:val="24"/>
          <w:szCs w:val="24"/>
        </w:rPr>
        <w:t xml:space="preserve">Predictive modelling:</w:t>
      </w:r>
      <w:r>
        <w:rPr>
          <w:rFonts w:ascii="Times New Roman" w:cs="Times New Roman" w:eastAsia="Times New Roman" w:hAnsi="Times New Roman"/>
          <w:sz w:val="24"/>
          <w:szCs w:val="24"/>
        </w:rPr>
        <w:t xml:space="preserve"> Can a robust binary classifier determine whether a passenger is Satisfied (y = 1) or Neutral/Dissatisfied (y = 0), so that airlines can intervene proactively before silent churn occurs?</w:t>
      </w:r>
    </w:p>
    <w:p>
      <w:pPr>
        <w:pStyle w:val="Heading2"/>
      </w:pPr>
      <w:r>
        <w:t xml:space="preserve">1.2 Objectives</w:t>
      </w:r>
    </w:p>
    <w:p>
      <w:pPr>
        <w:pStyle w:val="ListParagraph"/>
        <w:numPr>
          <w:ilvl w:val="0"/>
          <w:numId w:val="4"/>
        </w:numPr>
        <w:spacing w:after="80" w:line="290"/>
      </w:pPr>
      <w:r>
        <w:rPr>
          <w:rFonts w:ascii="Times New Roman" w:cs="Times New Roman" w:eastAsia="Times New Roman" w:hAnsi="Times New Roman"/>
          <w:sz w:val="24"/>
          <w:szCs w:val="24"/>
        </w:rPr>
        <w:t xml:space="preserve">Perform a data-quality audit and cleaning, including missing values, duplicates and the “0 = not applicable” rating convention, using a pipeline that avoids data leakage.</w:t>
      </w:r>
    </w:p>
    <w:p>
      <w:pPr>
        <w:pStyle w:val="ListParagraph"/>
        <w:numPr>
          <w:ilvl w:val="0"/>
          <w:numId w:val="4"/>
        </w:numPr>
        <w:spacing w:after="80" w:line="290"/>
      </w:pPr>
      <w:r>
        <w:rPr>
          <w:rFonts w:ascii="Times New Roman" w:cs="Times New Roman" w:eastAsia="Times New Roman" w:hAnsi="Times New Roman"/>
          <w:sz w:val="24"/>
          <w:szCs w:val="24"/>
        </w:rPr>
        <w:t xml:space="preserve">Carry out exploratory data analysis (EDA) relating demographics, travel class, touchpoint ratings, delays and satisfaction.</w:t>
      </w:r>
    </w:p>
    <w:p>
      <w:pPr>
        <w:pStyle w:val="ListParagraph"/>
        <w:numPr>
          <w:ilvl w:val="0"/>
          <w:numId w:val="4"/>
        </w:numPr>
        <w:spacing w:after="80" w:line="290"/>
      </w:pPr>
      <w:r>
        <w:rPr>
          <w:rFonts w:ascii="Times New Roman" w:cs="Times New Roman" w:eastAsia="Times New Roman" w:hAnsi="Times New Roman"/>
          <w:sz w:val="24"/>
          <w:szCs w:val="24"/>
        </w:rPr>
        <w:t xml:space="preserve">Train and evaluate Logistic Regression and Random Forest classifiers on an 80/20 stratified split.</w:t>
      </w:r>
    </w:p>
    <w:p>
      <w:pPr>
        <w:pStyle w:val="ListParagraph"/>
        <w:numPr>
          <w:ilvl w:val="0"/>
          <w:numId w:val="4"/>
        </w:numPr>
        <w:spacing w:after="80" w:line="290"/>
      </w:pPr>
      <w:r>
        <w:rPr>
          <w:rFonts w:ascii="Times New Roman" w:cs="Times New Roman" w:eastAsia="Times New Roman" w:hAnsi="Times New Roman"/>
          <w:sz w:val="24"/>
          <w:szCs w:val="24"/>
        </w:rPr>
        <w:t xml:space="preserve">Quantify feature importance to identify and rank the drivers of satisfaction.</w:t>
      </w:r>
    </w:p>
    <w:p>
      <w:pPr>
        <w:pStyle w:val="ListParagraph"/>
        <w:numPr>
          <w:ilvl w:val="0"/>
          <w:numId w:val="4"/>
        </w:numPr>
        <w:spacing w:after="80" w:line="290"/>
      </w:pPr>
      <w:r>
        <w:rPr>
          <w:rFonts w:ascii="Times New Roman" w:cs="Times New Roman" w:eastAsia="Times New Roman" w:hAnsi="Times New Roman"/>
          <w:sz w:val="24"/>
          <w:szCs w:val="24"/>
        </w:rPr>
        <w:t xml:space="preserve">Translate findings into prescriptive business recommendations, and deliver the work as a reproducible notebook, saved models and an interactive Streamlit dashboard.</w:t>
      </w:r>
    </w:p>
    <w:p>
      <w:pPr>
        <w:pStyle w:val="Heading2"/>
      </w:pPr>
      <w:r>
        <w:t xml:space="preserve">1.3 Project Deliverables</w:t>
      </w:r>
    </w:p>
    <w:p>
      <w:pPr>
        <w:spacing w:after="140" w:line="300"/>
        <w:jc w:val="both"/>
      </w:pPr>
      <w:r>
        <w:rPr>
          <w:rFonts w:ascii="Times New Roman" w:cs="Times New Roman" w:eastAsia="Times New Roman" w:hAnsi="Times New Roman"/>
          <w:sz w:val="24"/>
          <w:szCs w:val="24"/>
        </w:rPr>
        <w:t xml:space="preserve">The project folder contains the executed Jupyter notebook (Piyush_FlightPath_to_Loyalty.ipynb), the raw dataset and data dictionary, nine figures, two serialised model pipelines (Random Forest and Logistic Regression, .joblib), a README, a requirements file and a Streamlit application (app.py). The dashboard has six modules: Executive KPI Dashboard, Exploratory Data Analysis, Machine Learning Diagnostics, Feature Driver Analysis, Real-Time Risk Simulator and Prescriptive Business Roadmap.</w:t>
      </w:r>
    </w:p>
    <w:p>
      <w:pPr>
        <w:pStyle w:val="Heading1"/>
        <w:pageBreakBefore/>
      </w:pPr>
      <w:r>
        <w:t xml:space="preserve">2. Dataset Description</w:t>
      </w:r>
    </w:p>
    <w:p>
      <w:pPr>
        <w:spacing w:after="140" w:line="300"/>
        <w:jc w:val="both"/>
      </w:pPr>
      <w:r>
        <w:rPr>
          <w:rFonts w:ascii="Times New Roman" w:cs="Times New Roman" w:eastAsia="Times New Roman" w:hAnsi="Times New Roman"/>
          <w:sz w:val="24"/>
          <w:szCs w:val="24"/>
        </w:rPr>
        <w:t xml:space="preserve">The analysis uses the Airline Passenger Satisfaction survey dataset (Kaggle: teejmahal20/airline-passenger-satisfaction), stored as airline_passenger_satisfaction.csv. It contains </w:t>
      </w:r>
      <w:r>
        <w:rPr>
          <w:rFonts w:ascii="Times New Roman" w:cs="Times New Roman" w:eastAsia="Times New Roman" w:hAnsi="Times New Roman"/>
          <w:b/>
          <w:bCs/>
          <w:sz w:val="24"/>
          <w:szCs w:val="24"/>
        </w:rPr>
        <w:t xml:space="preserve">129,880 observations</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24 columns</w:t>
      </w:r>
      <w:r>
        <w:rPr>
          <w:rFonts w:ascii="Times New Roman" w:cs="Times New Roman" w:eastAsia="Times New Roman" w:hAnsi="Times New Roman"/>
          <w:sz w:val="24"/>
          <w:szCs w:val="24"/>
        </w:rPr>
        <w:t xml:space="preserve">, with no exact duplicate rows and 129,880 unique passenger IDs (one per row). The column definitions are provided in data_dictionary.csv.</w:t>
      </w:r>
    </w:p>
    <w:p>
      <w:pPr>
        <w:keepNext/>
        <w:spacing w:after="80" w:before="160"/>
        <w:jc w:val="center"/>
      </w:pPr>
      <w:r>
        <w:rPr>
          <w:rFonts w:ascii="Calibri" w:cs="Calibri" w:eastAsia="Calibri" w:hAnsi="Calibri"/>
          <w:b/>
          <w:bCs/>
          <w:color w:val="1F3864"/>
          <w:sz w:val="20"/>
          <w:szCs w:val="20"/>
        </w:rPr>
        <w:t xml:space="preserve">Table 1: </w:t>
      </w:r>
      <w:r>
        <w:rPr>
          <w:rFonts w:ascii="Calibri" w:cs="Calibri" w:eastAsia="Calibri" w:hAnsi="Calibri"/>
          <w:i/>
          <w:iCs/>
          <w:color w:val="595959"/>
          <w:sz w:val="20"/>
          <w:szCs w:val="20"/>
        </w:rPr>
        <w:t xml:space="preserve">Attribute groups in the dataset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Category</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Variables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Identifier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ID (surrogate key; excluded from predictors)</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Demographic &amp; flight profile</w:t>
            </w:r>
          </w:p>
        </w:tc>
        <w:tc>
          <w:tcPr>
            <w:tcW w:type="dxa" w:w="6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Gender, Age, Customer Type (First-time / Returning), Type of Travel (Business / Personal), Class (Business / Economy / Economy Plus), Flight Distance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Operational metrics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Departure Delay (minutes), Arrival Delay (minutes)</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Service ratings (14)</w:t>
            </w:r>
          </w:p>
        </w:tc>
        <w:tc>
          <w:tcPr>
            <w:tcW w:type="dxa" w:w="6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Departure and Arrival Time Convenience, Ease of Online Booking, Check-in Service, Online Boarding, Gate Location, On-board Service, Seat Comfort, Leg Room Service, Cleanliness, Food and Drink, In-flight Service, In-flight Wifi Service, In-flight Entertainment, Baggage Handling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left"/>
            </w:pPr>
            <w:r>
              <w:rPr>
                <w:rFonts w:ascii="Calibri" w:cs="Calibri" w:eastAsia="Calibri" w:hAnsi="Calibri"/>
                <w:b/>
                <w:bCs/>
                <w:sz w:val="20"/>
                <w:szCs w:val="20"/>
              </w:rPr>
              <w:t xml:space="preserve">Target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left"/>
            </w:pPr>
            <w:r>
              <w:rPr>
                <w:rFonts w:ascii="Calibri" w:cs="Calibri" w:eastAsia="Calibri" w:hAnsi="Calibri"/>
                <w:b w:val="false"/>
                <w:bCs w:val="false"/>
                <w:sz w:val="20"/>
                <w:szCs w:val="20"/>
              </w:rPr>
              <w:t xml:space="preserve">Satisfaction (Satisfied / Neutral or Dissatisfied)</w:t>
            </w:r>
          </w:p>
        </w:tc>
      </w:tr>
    </w:tbl>
    <w:p>
      <w:pPr>
        <w:spacing w:after="200"/>
      </w:pPr>
    </w:p>
    <w:p>
      <w:pPr>
        <w:spacing w:after="140" w:line="300"/>
        <w:jc w:val="both"/>
      </w:pPr>
      <w:r>
        <w:rPr>
          <w:rFonts w:ascii="Times New Roman" w:cs="Times New Roman" w:eastAsia="Times New Roman" w:hAnsi="Times New Roman"/>
          <w:sz w:val="24"/>
          <w:szCs w:val="24"/>
        </w:rPr>
        <w:t xml:space="preserve">The 14 service ratings use a 1 (lowest) to 5 (highest) scale, where </w:t>
      </w:r>
      <w:r>
        <w:rPr>
          <w:rFonts w:ascii="Times New Roman" w:cs="Times New Roman" w:eastAsia="Times New Roman" w:hAnsi="Times New Roman"/>
          <w:b/>
          <w:bCs/>
          <w:sz w:val="24"/>
          <w:szCs w:val="24"/>
        </w:rPr>
        <w:t xml:space="preserve">0 means “not applicable”</w:t>
      </w:r>
      <w:r>
        <w:rPr>
          <w:rFonts w:ascii="Times New Roman" w:cs="Times New Roman" w:eastAsia="Times New Roman" w:hAnsi="Times New Roman"/>
          <w:sz w:val="24"/>
          <w:szCs w:val="24"/>
        </w:rPr>
        <w:t xml:space="preserve"> according to the data dictionary.</w:t>
      </w:r>
    </w:p>
    <w:p>
      <w:pPr>
        <w:pStyle w:val="Heading2"/>
      </w:pPr>
      <w:r>
        <w:t xml:space="preserve">2.1 Target Variable</w:t>
      </w:r>
    </w:p>
    <w:p>
      <w:pPr>
        <w:spacing w:after="140" w:line="300"/>
        <w:jc w:val="both"/>
      </w:pPr>
      <w:r>
        <w:rPr>
          <w:rFonts w:ascii="Times New Roman" w:cs="Times New Roman" w:eastAsia="Times New Roman" w:hAnsi="Times New Roman"/>
          <w:sz w:val="24"/>
          <w:szCs w:val="24"/>
        </w:rPr>
        <w:t xml:space="preserve">Satisfaction is binary: </w:t>
      </w:r>
      <w:r>
        <w:rPr>
          <w:rFonts w:ascii="Times New Roman" w:cs="Times New Roman" w:eastAsia="Times New Roman" w:hAnsi="Times New Roman"/>
          <w:b/>
          <w:bCs/>
          <w:sz w:val="24"/>
          <w:szCs w:val="24"/>
        </w:rPr>
        <w:t xml:space="preserve">Satisfied</w:t>
      </w:r>
      <w:r>
        <w:rPr>
          <w:rFonts w:ascii="Times New Roman" w:cs="Times New Roman" w:eastAsia="Times New Roman" w:hAnsi="Times New Roman"/>
          <w:sz w:val="24"/>
          <w:szCs w:val="24"/>
        </w:rPr>
        <w:t xml:space="preserve"> (56,428 passengers; 43.45%) and </w:t>
      </w:r>
      <w:r>
        <w:rPr>
          <w:rFonts w:ascii="Times New Roman" w:cs="Times New Roman" w:eastAsia="Times New Roman" w:hAnsi="Times New Roman"/>
          <w:b/>
          <w:bCs/>
          <w:sz w:val="24"/>
          <w:szCs w:val="24"/>
        </w:rPr>
        <w:t xml:space="preserve">Neutral or Dissatisfied</w:t>
      </w:r>
      <w:r>
        <w:rPr>
          <w:rFonts w:ascii="Times New Roman" w:cs="Times New Roman" w:eastAsia="Times New Roman" w:hAnsi="Times New Roman"/>
          <w:sz w:val="24"/>
          <w:szCs w:val="24"/>
        </w:rPr>
        <w:t xml:space="preserve"> (73,452 passengers; 56.55%). The classes are moderately imbalanced, so a stratified split was used to preserve this ratio in both training and test data.</w:t>
      </w:r>
    </w:p>
    <w:p>
      <w:pPr>
        <w:pStyle w:val="Heading2"/>
      </w:pPr>
      <w:r>
        <w:t xml:space="preserve">2.2 Sample Composition and Numeric Summary</w:t>
      </w:r>
    </w:p>
    <w:p>
      <w:pPr>
        <w:keepNext/>
        <w:spacing w:after="80" w:before="160"/>
        <w:jc w:val="center"/>
      </w:pPr>
      <w:r>
        <w:rPr>
          <w:rFonts w:ascii="Calibri" w:cs="Calibri" w:eastAsia="Calibri" w:hAnsi="Calibri"/>
          <w:b/>
          <w:bCs/>
          <w:color w:val="1F3864"/>
          <w:sz w:val="20"/>
          <w:szCs w:val="20"/>
        </w:rPr>
        <w:t xml:space="preserve">Table 2: </w:t>
      </w:r>
      <w:r>
        <w:rPr>
          <w:rFonts w:ascii="Calibri" w:cs="Calibri" w:eastAsia="Calibri" w:hAnsi="Calibri"/>
          <w:i/>
          <w:iCs/>
          <w:color w:val="595959"/>
          <w:sz w:val="20"/>
          <w:szCs w:val="20"/>
        </w:rPr>
        <w:t xml:space="preserve">Composition of the passenger sample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2100"/>
        <w:gridCol w:w="212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Variable</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Category</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Passengers</w:t>
            </w:r>
          </w:p>
        </w:tc>
        <w:tc>
          <w:tcPr>
            <w:tcW w:type="dxa" w:w="2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Share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Class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Business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62,160</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47.9%</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
            </w:r>
          </w:p>
        </w:tc>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Economy</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58,309</w:t>
            </w:r>
          </w:p>
        </w:tc>
        <w:tc>
          <w:tcPr>
            <w:tcW w:type="dxa" w:w="2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44.9%</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Economy Plus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9,411</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7.2%</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Type of Travel</w:t>
            </w:r>
          </w:p>
        </w:tc>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Business</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89,693</w:t>
            </w:r>
          </w:p>
        </w:tc>
        <w:tc>
          <w:tcPr>
            <w:tcW w:type="dxa" w:w="2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69.1%</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Personal</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40,187</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30.9%</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Customer Type</w:t>
            </w:r>
          </w:p>
        </w:tc>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Returning</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106,100</w:t>
            </w:r>
          </w:p>
        </w:tc>
        <w:tc>
          <w:tcPr>
            <w:tcW w:type="dxa" w:w="2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81.7%</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First-time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23,780</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18.3%</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Gender</w:t>
            </w:r>
          </w:p>
        </w:tc>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Female</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65,899</w:t>
            </w:r>
          </w:p>
        </w:tc>
        <w:tc>
          <w:tcPr>
            <w:tcW w:type="dxa" w:w="2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50.7%</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left"/>
            </w:pPr>
            <w:r>
              <w:rPr>
                <w:rFonts w:ascii="Calibri" w:cs="Calibri" w:eastAsia="Calibri" w:hAnsi="Calibri"/>
                <w:b/>
                <w:bCs/>
                <w:sz w:val="20"/>
                <w:szCs w:val="20"/>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Male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63,981</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49.3%</w:t>
            </w:r>
          </w:p>
        </w:tc>
      </w:tr>
    </w:tbl>
    <w:p>
      <w:pPr>
        <w:spacing w:after="200"/>
      </w:pPr>
    </w:p>
    <w:p>
      <w:pPr>
        <w:keepNext/>
        <w:spacing w:after="80" w:before="160"/>
        <w:jc w:val="center"/>
      </w:pPr>
      <w:r>
        <w:rPr>
          <w:rFonts w:ascii="Calibri" w:cs="Calibri" w:eastAsia="Calibri" w:hAnsi="Calibri"/>
          <w:b/>
          <w:bCs/>
          <w:color w:val="1F3864"/>
          <w:sz w:val="20"/>
          <w:szCs w:val="20"/>
        </w:rPr>
        <w:t xml:space="preserve">Table 3: </w:t>
      </w:r>
      <w:r>
        <w:rPr>
          <w:rFonts w:ascii="Calibri" w:cs="Calibri" w:eastAsia="Calibri" w:hAnsi="Calibri"/>
          <w:i/>
          <w:iCs/>
          <w:color w:val="595959"/>
          <w:sz w:val="20"/>
          <w:szCs w:val="20"/>
        </w:rPr>
        <w:t xml:space="preserve">Summary statistics of numeric variables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Variable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Mean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Median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Min</w:t>
            </w:r>
          </w:p>
        </w:tc>
        <w:tc>
          <w:tcPr>
            <w:tcW w:type="dxa" w:w="1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Max</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Age (years)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39.43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40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7</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85</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Flight Distance (miles)</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1,190.32</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844</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31</w:t>
            </w:r>
          </w:p>
        </w:tc>
        <w:tc>
          <w:tcPr>
            <w:tcW w:type="dxa" w:w="1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4,983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Departure Delay (min)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14.71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0</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1,592</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left"/>
            </w:pPr>
            <w:r>
              <w:rPr>
                <w:rFonts w:ascii="Calibri" w:cs="Calibri" w:eastAsia="Calibri" w:hAnsi="Calibri"/>
                <w:b w:val="false"/>
                <w:bCs w:val="false"/>
                <w:sz w:val="20"/>
                <w:szCs w:val="20"/>
              </w:rPr>
              <w:t xml:space="preserve">Arrival Delay (min)</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15.09</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0</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0</w:t>
            </w:r>
          </w:p>
        </w:tc>
        <w:tc>
          <w:tcPr>
            <w:tcW w:type="dxa" w:w="1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1,584</w:t>
            </w:r>
          </w:p>
        </w:tc>
      </w:tr>
    </w:tbl>
    <w:p>
      <w:pPr>
        <w:spacing w:after="200"/>
      </w:pPr>
    </w:p>
    <w:p>
      <w:pPr>
        <w:spacing w:after="140" w:line="300"/>
        <w:jc w:val="both"/>
      </w:pPr>
      <w:r>
        <w:rPr>
          <w:rFonts w:ascii="Times New Roman" w:cs="Times New Roman" w:eastAsia="Times New Roman" w:hAnsi="Times New Roman"/>
          <w:sz w:val="24"/>
          <w:szCs w:val="24"/>
        </w:rPr>
        <w:t xml:space="preserve">Both delay variables are strongly right-skewed: the median delay is zero minutes, whereas the maximum values exceed 1,500 minutes. Arrival Delay statistics are computed on the 129,487 non-missing records.</w:t>
      </w:r>
    </w:p>
    <w:p>
      <w:pPr>
        <w:pStyle w:val="Heading1"/>
        <w:pageBreakBefore/>
      </w:pPr>
      <w:r>
        <w:t xml:space="preserve">3. Data Cleaning &amp; Preprocessing</w:t>
      </w:r>
    </w:p>
    <w:p>
      <w:pPr>
        <w:pStyle w:val="Heading2"/>
      </w:pPr>
      <w:r>
        <w:t xml:space="preserve">3.1 Data Quality Audit</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Shape and duplicates:</w:t>
      </w:r>
      <w:r>
        <w:rPr>
          <w:rFonts w:ascii="Times New Roman" w:cs="Times New Roman" w:eastAsia="Times New Roman" w:hAnsi="Times New Roman"/>
          <w:sz w:val="24"/>
          <w:szCs w:val="24"/>
        </w:rPr>
        <w:t xml:space="preserve"> 129,880 rows × 24 columns; 0 exact duplicate rows; all passenger IDs unique.</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Missing values:</w:t>
      </w:r>
      <w:r>
        <w:rPr>
          <w:rFonts w:ascii="Times New Roman" w:cs="Times New Roman" w:eastAsia="Times New Roman" w:hAnsi="Times New Roman"/>
          <w:sz w:val="24"/>
          <w:szCs w:val="24"/>
        </w:rPr>
        <w:t xml:space="preserve"> only Arrival Delay has missing values – 393 records (0.30%).</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Data types:</w:t>
      </w:r>
      <w:r>
        <w:rPr>
          <w:rFonts w:ascii="Times New Roman" w:cs="Times New Roman" w:eastAsia="Times New Roman" w:hAnsi="Times New Roman"/>
          <w:sz w:val="24"/>
          <w:szCs w:val="24"/>
        </w:rPr>
        <w:t xml:space="preserve"> 18 integer columns (including ID and the 14 ratings), 1 float column (Arrival Delay) and 5 text columns (four categorical variables and the target).</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“0 = Not Applicable” ratings:</w:t>
      </w:r>
      <w:r>
        <w:rPr>
          <w:rFonts w:ascii="Times New Roman" w:cs="Times New Roman" w:eastAsia="Times New Roman" w:hAnsi="Times New Roman"/>
          <w:sz w:val="24"/>
          <w:szCs w:val="24"/>
        </w:rPr>
        <w:t xml:space="preserve"> the audit found zero-coded responses concentrated in a few touchpoints (Table 4).</w:t>
      </w:r>
    </w:p>
    <w:p>
      <w:pPr>
        <w:keepNext/>
        <w:spacing w:after="80" w:before="160"/>
        <w:jc w:val="center"/>
      </w:pPr>
      <w:r>
        <w:rPr>
          <w:rFonts w:ascii="Calibri" w:cs="Calibri" w:eastAsia="Calibri" w:hAnsi="Calibri"/>
          <w:b/>
          <w:bCs/>
          <w:color w:val="1F3864"/>
          <w:sz w:val="20"/>
          <w:szCs w:val="20"/>
        </w:rPr>
        <w:t xml:space="preserve">Table 4: </w:t>
      </w:r>
      <w:r>
        <w:rPr>
          <w:rFonts w:ascii="Calibri" w:cs="Calibri" w:eastAsia="Calibri" w:hAnsi="Calibri"/>
          <w:i/>
          <w:iCs/>
          <w:color w:val="595959"/>
          <w:sz w:val="20"/>
          <w:szCs w:val="20"/>
        </w:rPr>
        <w:t xml:space="preserve">Zero-coded (“not applicable”) ratings by service (selected features)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2000"/>
        <w:gridCol w:w="2426"/>
      </w:tblGrid>
      <w:tr>
        <w:trPr>
          <w:cantSplit/>
          <w:tblHeader/>
        </w:trPr>
        <w:tc>
          <w:tcPr>
            <w:tcW w:type="dxa" w:w="4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Service rating</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Zero count</w:t>
            </w:r>
          </w:p>
        </w:tc>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Share of records</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Departure and Arrival Time Convenience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6,681</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5.14%</w:t>
            </w:r>
          </w:p>
        </w:tc>
      </w:tr>
      <w:tr>
        <w:trPr>
          <w:cantSplit/>
        </w:trPr>
        <w:tc>
          <w:tcPr>
            <w:tcW w:type="dxa" w:w="4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Ease of Online Booking</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5,682</w:t>
            </w:r>
          </w:p>
        </w:tc>
        <w:tc>
          <w:tcPr>
            <w:tcW w:type="dxa" w:w="2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4.37%</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In-flight Wifi Service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3,916</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3.02%</w:t>
            </w:r>
          </w:p>
        </w:tc>
      </w:tr>
      <w:tr>
        <w:trPr>
          <w:cantSplit/>
        </w:trPr>
        <w:tc>
          <w:tcPr>
            <w:tcW w:type="dxa" w:w="4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Online Boarding</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3,080</w:t>
            </w:r>
          </w:p>
        </w:tc>
        <w:tc>
          <w:tcPr>
            <w:tcW w:type="dxa" w:w="2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2.37%</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Leg Room Service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598</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0.46%</w:t>
            </w:r>
          </w:p>
        </w:tc>
      </w:tr>
      <w:tr>
        <w:trPr>
          <w:cantSplit/>
        </w:trPr>
        <w:tc>
          <w:tcPr>
            <w:tcW w:type="dxa" w:w="4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Food and Drink</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132</w:t>
            </w:r>
          </w:p>
        </w:tc>
        <w:tc>
          <w:tcPr>
            <w:tcW w:type="dxa" w:w="2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0.10%</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left"/>
            </w:pPr>
            <w:r>
              <w:rPr>
                <w:rFonts w:ascii="Calibri" w:cs="Calibri" w:eastAsia="Calibri" w:hAnsi="Calibri"/>
                <w:b w:val="false"/>
                <w:bCs w:val="false"/>
                <w:sz w:val="20"/>
                <w:szCs w:val="20"/>
              </w:rPr>
              <w:t xml:space="preserve">All other rating columns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0 – 18 each</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 0.01%</w:t>
            </w:r>
          </w:p>
        </w:tc>
      </w:tr>
    </w:tbl>
    <w:p>
      <w:pPr>
        <w:spacing w:after="200"/>
      </w:pPr>
    </w:p>
    <w:p>
      <w:pPr>
        <w:pStyle w:val="Heading2"/>
      </w:pPr>
      <w:r>
        <w:t xml:space="preserve">3.2 Cleaning and Transformation Steps</w:t>
      </w:r>
    </w:p>
    <w:p>
      <w:pPr>
        <w:pStyle w:val="ListParagraph"/>
        <w:numPr>
          <w:ilvl w:val="0"/>
          <w:numId w:val="5"/>
        </w:numPr>
        <w:spacing w:after="80" w:line="290"/>
      </w:pPr>
      <w:r>
        <w:rPr>
          <w:rFonts w:ascii="Times New Roman" w:cs="Times New Roman" w:eastAsia="Times New Roman" w:hAnsi="Times New Roman"/>
          <w:b/>
          <w:bCs/>
          <w:sz w:val="24"/>
          <w:szCs w:val="24"/>
        </w:rPr>
        <w:t xml:space="preserve">Target encoding:</w:t>
      </w:r>
      <w:r>
        <w:rPr>
          <w:rFonts w:ascii="Times New Roman" w:cs="Times New Roman" w:eastAsia="Times New Roman" w:hAnsi="Times New Roman"/>
          <w:sz w:val="24"/>
          <w:szCs w:val="24"/>
        </w:rPr>
        <w:t xml:space="preserve"> Satisfaction mapped to 1 (Satisfied) and 0 (Neutral or Dissatisfied).</w:t>
      </w:r>
    </w:p>
    <w:p>
      <w:pPr>
        <w:pStyle w:val="ListParagraph"/>
        <w:numPr>
          <w:ilvl w:val="0"/>
          <w:numId w:val="5"/>
        </w:numPr>
        <w:spacing w:after="80" w:line="290"/>
      </w:pPr>
      <w:r>
        <w:rPr>
          <w:rFonts w:ascii="Times New Roman" w:cs="Times New Roman" w:eastAsia="Times New Roman" w:hAnsi="Times New Roman"/>
          <w:b/>
          <w:bCs/>
          <w:sz w:val="24"/>
          <w:szCs w:val="24"/>
        </w:rPr>
        <w:t xml:space="preserve">Identifier exclusion:</w:t>
      </w:r>
      <w:r>
        <w:rPr>
          <w:rFonts w:ascii="Times New Roman" w:cs="Times New Roman" w:eastAsia="Times New Roman" w:hAnsi="Times New Roman"/>
          <w:sz w:val="24"/>
          <w:szCs w:val="24"/>
        </w:rPr>
        <w:t xml:space="preserve"> ID was dropped from the predictor matrix to prevent memorisation of a row key.</w:t>
      </w:r>
    </w:p>
    <w:p>
      <w:pPr>
        <w:pStyle w:val="ListParagraph"/>
        <w:numPr>
          <w:ilvl w:val="0"/>
          <w:numId w:val="5"/>
        </w:numPr>
        <w:spacing w:after="80" w:line="290"/>
      </w:pPr>
      <w:r>
        <w:rPr>
          <w:rFonts w:ascii="Times New Roman" w:cs="Times New Roman" w:eastAsia="Times New Roman" w:hAnsi="Times New Roman"/>
          <w:b/>
          <w:bCs/>
          <w:sz w:val="24"/>
          <w:szCs w:val="24"/>
        </w:rPr>
        <w:t xml:space="preserve">Missing-value imputation:</w:t>
      </w:r>
      <w:r>
        <w:rPr>
          <w:rFonts w:ascii="Times New Roman" w:cs="Times New Roman" w:eastAsia="Times New Roman" w:hAnsi="Times New Roman"/>
          <w:sz w:val="24"/>
          <w:szCs w:val="24"/>
        </w:rPr>
        <w:t xml:space="preserve"> Arrival Delay was imputed with the median inside the pipeline, so the median is learned from training data only (no leakage into the test set).</w:t>
      </w:r>
    </w:p>
    <w:p>
      <w:pPr>
        <w:pStyle w:val="ListParagraph"/>
        <w:numPr>
          <w:ilvl w:val="0"/>
          <w:numId w:val="5"/>
        </w:numPr>
        <w:spacing w:after="80" w:line="290"/>
      </w:pPr>
      <w:r>
        <w:rPr>
          <w:rFonts w:ascii="Times New Roman" w:cs="Times New Roman" w:eastAsia="Times New Roman" w:hAnsi="Times New Roman"/>
          <w:b/>
          <w:bCs/>
          <w:sz w:val="24"/>
          <w:szCs w:val="24"/>
        </w:rPr>
        <w:t xml:space="preserve">Extreme delays retained:</w:t>
      </w:r>
      <w:r>
        <w:rPr>
          <w:rFonts w:ascii="Times New Roman" w:cs="Times New Roman" w:eastAsia="Times New Roman" w:hAnsi="Times New Roman"/>
          <w:sz w:val="24"/>
          <w:szCs w:val="24"/>
        </w:rPr>
        <w:t xml:space="preserve"> valid long delays (up to 1,592 minutes) were preserved rather than deleted.</w:t>
      </w:r>
    </w:p>
    <w:p>
      <w:pPr>
        <w:pStyle w:val="ListParagraph"/>
        <w:numPr>
          <w:ilvl w:val="0"/>
          <w:numId w:val="5"/>
        </w:numPr>
        <w:spacing w:after="80" w:line="290"/>
      </w:pPr>
      <w:r>
        <w:rPr>
          <w:rFonts w:ascii="Times New Roman" w:cs="Times New Roman" w:eastAsia="Times New Roman" w:hAnsi="Times New Roman"/>
          <w:b/>
          <w:bCs/>
          <w:sz w:val="24"/>
          <w:szCs w:val="24"/>
        </w:rPr>
        <w:t xml:space="preserve">Categorical encoding:</w:t>
      </w:r>
      <w:r>
        <w:rPr>
          <w:rFonts w:ascii="Times New Roman" w:cs="Times New Roman" w:eastAsia="Times New Roman" w:hAnsi="Times New Roman"/>
          <w:sz w:val="24"/>
          <w:szCs w:val="24"/>
        </w:rPr>
        <w:t xml:space="preserve"> Gender, Customer Type, Type of Travel and Class were one-hot encoded (drop-first, unknown categories ignored), with most-frequent imputation as a safeguard.</w:t>
      </w:r>
    </w:p>
    <w:p>
      <w:pPr>
        <w:pStyle w:val="ListParagraph"/>
        <w:numPr>
          <w:ilvl w:val="0"/>
          <w:numId w:val="5"/>
        </w:numPr>
        <w:spacing w:after="80" w:line="290"/>
      </w:pPr>
      <w:r>
        <w:rPr>
          <w:rFonts w:ascii="Times New Roman" w:cs="Times New Roman" w:eastAsia="Times New Roman" w:hAnsi="Times New Roman"/>
          <w:b/>
          <w:bCs/>
          <w:sz w:val="24"/>
          <w:szCs w:val="24"/>
        </w:rPr>
        <w:t xml:space="preserve">Scaling:</w:t>
      </w:r>
      <w:r>
        <w:rPr>
          <w:rFonts w:ascii="Times New Roman" w:cs="Times New Roman" w:eastAsia="Times New Roman" w:hAnsi="Times New Roman"/>
          <w:sz w:val="24"/>
          <w:szCs w:val="24"/>
        </w:rPr>
        <w:t xml:space="preserve"> the four continuous variables (Age, Flight Distance, Departure Delay, Arrival Delay) and the 14 rating variables were standardised with StandardScaler.</w:t>
      </w:r>
    </w:p>
    <w:p>
      <w:pPr>
        <w:spacing w:after="140" w:line="300"/>
        <w:jc w:val="both"/>
      </w:pPr>
      <w:r>
        <w:rPr>
          <w:rFonts w:ascii="Times New Roman" w:cs="Times New Roman" w:eastAsia="Times New Roman" w:hAnsi="Times New Roman"/>
          <w:sz w:val="24"/>
          <w:szCs w:val="24"/>
        </w:rPr>
        <w:t xml:space="preserve">All steps were combined in a single scikit-learn ColumnTransformer and wrapped in a Pipeline with the classifier, which ensures that imputation, encoding and scaling are fitted on training data only. The resulting model input has 23 features: 18 numeric plus 5 one-hot indicator columns (Gender_Male, Customer Type_Returning, Type of Travel_Personal, Class_Economy, Class_Economy Plus).</w:t>
      </w:r>
    </w:p>
    <w:p>
      <w:pPr>
        <w:spacing w:after="140" w:line="300"/>
        <w:jc w:val="both"/>
      </w:pPr>
      <w:r>
        <w:rPr>
          <w:rFonts w:ascii="Times New Roman" w:cs="Times New Roman" w:eastAsia="Times New Roman" w:hAnsi="Times New Roman"/>
          <w:b/>
          <w:bCs/>
          <w:sz w:val="24"/>
          <w:szCs w:val="24"/>
        </w:rPr>
        <w:t xml:space="preserve">Treatment of zero ratings.</w:t>
      </w:r>
      <w:r>
        <w:rPr>
          <w:rFonts w:ascii="Times New Roman" w:cs="Times New Roman" w:eastAsia="Times New Roman" w:hAnsi="Times New Roman"/>
          <w:sz w:val="24"/>
          <w:szCs w:val="24"/>
        </w:rPr>
        <w:t xml:space="preserve"> In the EDA, zero-coded responses were excluded when computing satisfaction rates across rating levels 1–5 (Figure 4). In the model pipeline, ratings were kept as supplied (including 0) and standardised, which allows tree-based models to separate the “not applicable” level from genuine ratings. The notebook notes that 3,906 of the 3,916 passengers who gave In-flight Wifi Service a rating of 0 are satisfied, so the 0 level carries a distinct pattern of its own.</w:t>
      </w:r>
    </w:p>
    <w:p>
      <w:pPr>
        <w:pStyle w:val="Heading1"/>
        <w:pageBreakBefore/>
      </w:pPr>
      <w:r>
        <w:t xml:space="preserve">4. Exploratory Data Analysis</w:t>
      </w:r>
    </w:p>
    <w:p>
      <w:pPr>
        <w:spacing w:after="140" w:line="300"/>
        <w:jc w:val="both"/>
      </w:pPr>
      <w:r>
        <w:rPr>
          <w:rFonts w:ascii="Times New Roman" w:cs="Times New Roman" w:eastAsia="Times New Roman" w:hAnsi="Times New Roman"/>
          <w:sz w:val="24"/>
          <w:szCs w:val="24"/>
        </w:rPr>
        <w:t xml:space="preserve">Six visualisations examine how satisfaction varies across passenger groups, service ratings and delays. Percentages quoted below are the exact values reported in the notebook and README and were re-checked against the raw dataset. All patterns are statistical associations, not proof of causation.</w:t>
      </w:r>
    </w:p>
    <w:p>
      <w:pPr>
        <w:pStyle w:val="Heading2"/>
      </w:pPr>
      <w:r>
        <w:t xml:space="preserve">4.1 Overall Satisfaction</w:t>
      </w:r>
    </w:p>
    <w:p>
      <w:pPr>
        <w:keepNext/>
        <w:spacing w:after="80" w:before="160"/>
        <w:jc w:val="center"/>
      </w:pPr>
      <w:r>
        <w:drawing>
          <wp:inline distT="0" distB="0" distL="0" distR="0">
            <wp:extent cx="3933825" cy="2952750"/>
            <wp:effectExtent t="0" r="0" b="0" l="0"/>
            <wp:docPr id="1" name="1_overall_satisfaction.png" descr="Overall passenger satisfaction distribution (N = 129,880)."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33825" cy="2952750"/>
                    </a:xfrm>
                    <a:prstGeom prst="rect">
                      <a:avLst/>
                    </a:prstGeom>
                  </pic:spPr>
                </pic:pic>
              </a:graphicData>
            </a:graphic>
          </wp:inline>
        </w:drawing>
      </w:r>
    </w:p>
    <w:p>
      <w:pPr>
        <w:spacing w:after="40"/>
        <w:jc w:val="center"/>
      </w:pPr>
      <w:r>
        <w:rPr>
          <w:rFonts w:ascii="Calibri" w:cs="Calibri" w:eastAsia="Calibri" w:hAnsi="Calibri"/>
          <w:b/>
          <w:bCs/>
          <w:color w:val="1F3864"/>
          <w:sz w:val="20"/>
          <w:szCs w:val="20"/>
        </w:rPr>
        <w:t xml:space="preserve">Figure 1: </w:t>
      </w:r>
      <w:r>
        <w:rPr>
          <w:rFonts w:ascii="Calibri" w:cs="Calibri" w:eastAsia="Calibri" w:hAnsi="Calibri"/>
          <w:i/>
          <w:iCs/>
          <w:color w:val="595959"/>
          <w:sz w:val="20"/>
          <w:szCs w:val="20"/>
        </w:rPr>
        <w:t xml:space="preserve">Overall passenger satisfaction distribution (N = 129,880).</w:t>
      </w:r>
    </w:p>
    <w:p>
      <w:pPr>
        <w:spacing w:after="200"/>
        <w:jc w:val="center"/>
      </w:pPr>
      <w:r>
        <w:rPr>
          <w:rFonts w:ascii="Calibri" w:cs="Calibri" w:eastAsia="Calibri" w:hAnsi="Calibri"/>
          <w:color w:val="595959"/>
          <w:sz w:val="18"/>
          <w:szCs w:val="18"/>
        </w:rPr>
        <w:t xml:space="preserve">The chart labels are rounded to one decimal place; exact values are 43.45% and 56.55%.</w:t>
      </w:r>
    </w:p>
    <w:p>
      <w:pPr>
        <w:spacing w:after="140" w:line="300"/>
        <w:jc w:val="both"/>
      </w:pPr>
      <w:r>
        <w:rPr>
          <w:rFonts w:ascii="Times New Roman" w:cs="Times New Roman" w:eastAsia="Times New Roman" w:hAnsi="Times New Roman"/>
          <w:sz w:val="24"/>
          <w:szCs w:val="24"/>
        </w:rPr>
        <w:t xml:space="preserve">Of the 129,880 passengers, </w:t>
      </w:r>
      <w:r>
        <w:rPr>
          <w:rFonts w:ascii="Times New Roman" w:cs="Times New Roman" w:eastAsia="Times New Roman" w:hAnsi="Times New Roman"/>
          <w:b/>
          <w:bCs/>
          <w:sz w:val="24"/>
          <w:szCs w:val="24"/>
        </w:rPr>
        <w:t xml:space="preserve">56.55% (73,452)</w:t>
      </w:r>
      <w:r>
        <w:rPr>
          <w:rFonts w:ascii="Times New Roman" w:cs="Times New Roman" w:eastAsia="Times New Roman" w:hAnsi="Times New Roman"/>
          <w:sz w:val="24"/>
          <w:szCs w:val="24"/>
        </w:rPr>
        <w:t xml:space="preserve"> are neutral or dissatisfied and </w:t>
      </w:r>
      <w:r>
        <w:rPr>
          <w:rFonts w:ascii="Times New Roman" w:cs="Times New Roman" w:eastAsia="Times New Roman" w:hAnsi="Times New Roman"/>
          <w:b/>
          <w:bCs/>
          <w:sz w:val="24"/>
          <w:szCs w:val="24"/>
        </w:rPr>
        <w:t xml:space="preserve">43.45% (56,428)</w:t>
      </w:r>
      <w:r>
        <w:rPr>
          <w:rFonts w:ascii="Times New Roman" w:cs="Times New Roman" w:eastAsia="Times New Roman" w:hAnsi="Times New Roman"/>
          <w:sz w:val="24"/>
          <w:szCs w:val="24"/>
        </w:rPr>
        <w:t xml:space="preserve"> are satisfied. More than half of the passenger base therefore experiences some form of service friction, which indicates substantial retention risk.</w:t>
      </w:r>
    </w:p>
    <w:p>
      <w:pPr>
        <w:pStyle w:val="Heading2"/>
      </w:pPr>
      <w:r>
        <w:t xml:space="preserve">4.2 Satisfaction by Travel Class</w:t>
      </w:r>
    </w:p>
    <w:p>
      <w:pPr>
        <w:keepNext/>
        <w:spacing w:after="80" w:before="160"/>
        <w:jc w:val="center"/>
      </w:pPr>
      <w:r>
        <w:drawing>
          <wp:inline distT="0" distB="0" distL="0" distR="0">
            <wp:extent cx="4752975" cy="2952750"/>
            <wp:effectExtent t="0" r="0" b="0" l="0"/>
            <wp:docPr id="1" name="2_satisfaction_by_class.png" descr="Satisfaction distribution across travel class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2952750"/>
                    </a:xfrm>
                    <a:prstGeom prst="rect">
                      <a:avLst/>
                    </a:prstGeom>
                  </pic:spPr>
                </pic:pic>
              </a:graphicData>
            </a:graphic>
          </wp:inline>
        </w:drawing>
      </w:r>
    </w:p>
    <w:p>
      <w:pPr>
        <w:spacing w:after="200"/>
        <w:jc w:val="center"/>
      </w:pPr>
      <w:r>
        <w:rPr>
          <w:rFonts w:ascii="Calibri" w:cs="Calibri" w:eastAsia="Calibri" w:hAnsi="Calibri"/>
          <w:b/>
          <w:bCs/>
          <w:color w:val="1F3864"/>
          <w:sz w:val="20"/>
          <w:szCs w:val="20"/>
        </w:rPr>
        <w:t xml:space="preserve">Figure 2: </w:t>
      </w:r>
      <w:r>
        <w:rPr>
          <w:rFonts w:ascii="Calibri" w:cs="Calibri" w:eastAsia="Calibri" w:hAnsi="Calibri"/>
          <w:i/>
          <w:iCs/>
          <w:color w:val="595959"/>
          <w:sz w:val="20"/>
          <w:szCs w:val="20"/>
        </w:rPr>
        <w:t xml:space="preserve">Satisfaction distribution across travel classes.</w:t>
      </w:r>
    </w:p>
    <w:p>
      <w:pPr>
        <w:spacing w:after="140" w:line="300"/>
        <w:jc w:val="both"/>
      </w:pPr>
      <w:r>
        <w:rPr>
          <w:rFonts w:ascii="Times New Roman" w:cs="Times New Roman" w:eastAsia="Times New Roman" w:hAnsi="Times New Roman"/>
          <w:sz w:val="24"/>
          <w:szCs w:val="24"/>
        </w:rPr>
        <w:t xml:space="preserve">Travel class shows a stark association with satisfaction. </w:t>
      </w:r>
      <w:r>
        <w:rPr>
          <w:rFonts w:ascii="Times New Roman" w:cs="Times New Roman" w:eastAsia="Times New Roman" w:hAnsi="Times New Roman"/>
          <w:b/>
          <w:bCs/>
          <w:sz w:val="24"/>
          <w:szCs w:val="24"/>
        </w:rPr>
        <w:t xml:space="preserve">Business</w:t>
      </w:r>
      <w:r>
        <w:rPr>
          <w:rFonts w:ascii="Times New Roman" w:cs="Times New Roman" w:eastAsia="Times New Roman" w:hAnsi="Times New Roman"/>
          <w:sz w:val="24"/>
          <w:szCs w:val="24"/>
        </w:rPr>
        <w:t xml:space="preserve"> passengers report a </w:t>
      </w:r>
      <w:r>
        <w:rPr>
          <w:rFonts w:ascii="Times New Roman" w:cs="Times New Roman" w:eastAsia="Times New Roman" w:hAnsi="Times New Roman"/>
          <w:b/>
          <w:bCs/>
          <w:sz w:val="24"/>
          <w:szCs w:val="24"/>
        </w:rPr>
        <w:t xml:space="preserve">69.44%</w:t>
      </w:r>
      <w:r>
        <w:rPr>
          <w:rFonts w:ascii="Times New Roman" w:cs="Times New Roman" w:eastAsia="Times New Roman" w:hAnsi="Times New Roman"/>
          <w:sz w:val="24"/>
          <w:szCs w:val="24"/>
        </w:rPr>
        <w:t xml:space="preserve"> satisfaction rate (30.56% dissatisfied), compared with only </w:t>
      </w:r>
      <w:r>
        <w:rPr>
          <w:rFonts w:ascii="Times New Roman" w:cs="Times New Roman" w:eastAsia="Times New Roman" w:hAnsi="Times New Roman"/>
          <w:b/>
          <w:bCs/>
          <w:sz w:val="24"/>
          <w:szCs w:val="24"/>
        </w:rPr>
        <w:t xml:space="preserve">18.77% in Economy</w:t>
      </w:r>
      <w:r>
        <w:rPr>
          <w:rFonts w:ascii="Times New Roman" w:cs="Times New Roman" w:eastAsia="Times New Roman" w:hAnsi="Times New Roman"/>
          <w:sz w:val="24"/>
          <w:szCs w:val="24"/>
        </w:rPr>
        <w:t xml:space="preserve"> (81.23% dissatisfied) and </w:t>
      </w:r>
      <w:r>
        <w:rPr>
          <w:rFonts w:ascii="Times New Roman" w:cs="Times New Roman" w:eastAsia="Times New Roman" w:hAnsi="Times New Roman"/>
          <w:b/>
          <w:bCs/>
          <w:sz w:val="24"/>
          <w:szCs w:val="24"/>
        </w:rPr>
        <w:t xml:space="preserve">24.64% in Economy Plus</w:t>
      </w:r>
      <w:r>
        <w:rPr>
          <w:rFonts w:ascii="Times New Roman" w:cs="Times New Roman" w:eastAsia="Times New Roman" w:hAnsi="Times New Roman"/>
          <w:sz w:val="24"/>
          <w:szCs w:val="24"/>
        </w:rPr>
        <w:t xml:space="preserve"> (75.36% dissatisfied). Over 81% of Economy travellers are neutral or dissatisfied. Since Economy and Economy Plus together account for over half of all passengers (Table 2), this gap has a large effect on overall satisfaction.</w:t>
      </w:r>
    </w:p>
    <w:p>
      <w:pPr>
        <w:pStyle w:val="Heading2"/>
      </w:pPr>
      <w:r>
        <w:t xml:space="preserve">4.3 Purpose of Travel and Customer Type</w:t>
      </w:r>
    </w:p>
    <w:p>
      <w:pPr>
        <w:keepNext/>
        <w:spacing w:after="80" w:before="160"/>
        <w:jc w:val="center"/>
      </w:pPr>
      <w:r>
        <w:drawing>
          <wp:inline distT="0" distB="0" distL="0" distR="0">
            <wp:extent cx="5305425" cy="2628900"/>
            <wp:effectExtent t="0" r="0" b="0" l="0"/>
            <wp:docPr id="1" name="3_travel_type_customer_type.png" descr="Satisfaction rate (%) by travel purpose and customer typ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2628900"/>
                    </a:xfrm>
                    <a:prstGeom prst="rect">
                      <a:avLst/>
                    </a:prstGeom>
                  </pic:spPr>
                </pic:pic>
              </a:graphicData>
            </a:graphic>
          </wp:inline>
        </w:drawing>
      </w:r>
    </w:p>
    <w:p>
      <w:pPr>
        <w:spacing w:after="200"/>
        <w:jc w:val="center"/>
      </w:pPr>
      <w:r>
        <w:rPr>
          <w:rFonts w:ascii="Calibri" w:cs="Calibri" w:eastAsia="Calibri" w:hAnsi="Calibri"/>
          <w:b/>
          <w:bCs/>
          <w:color w:val="1F3864"/>
          <w:sz w:val="20"/>
          <w:szCs w:val="20"/>
        </w:rPr>
        <w:t xml:space="preserve">Figure 3: </w:t>
      </w:r>
      <w:r>
        <w:rPr>
          <w:rFonts w:ascii="Calibri" w:cs="Calibri" w:eastAsia="Calibri" w:hAnsi="Calibri"/>
          <w:i/>
          <w:iCs/>
          <w:color w:val="595959"/>
          <w:sz w:val="20"/>
          <w:szCs w:val="20"/>
        </w:rPr>
        <w:t xml:space="preserve">Satisfaction rate (%) by travel purpose and customer type.</w:t>
      </w:r>
    </w:p>
    <w:p>
      <w:pPr>
        <w:keepNext/>
        <w:spacing w:after="80" w:before="160"/>
        <w:jc w:val="center"/>
      </w:pPr>
      <w:r>
        <w:rPr>
          <w:rFonts w:ascii="Calibri" w:cs="Calibri" w:eastAsia="Calibri" w:hAnsi="Calibri"/>
          <w:b/>
          <w:bCs/>
          <w:color w:val="1F3864"/>
          <w:sz w:val="20"/>
          <w:szCs w:val="20"/>
        </w:rPr>
        <w:t xml:space="preserve">Table 5: </w:t>
      </w:r>
      <w:r>
        <w:rPr>
          <w:rFonts w:ascii="Calibri" w:cs="Calibri" w:eastAsia="Calibri" w:hAnsi="Calibri"/>
          <w:i/>
          <w:iCs/>
          <w:color w:val="595959"/>
          <w:sz w:val="20"/>
          <w:szCs w:val="20"/>
        </w:rPr>
        <w:t xml:space="preserve">Satisfaction by Purpose of Travel × Customer Type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900"/>
        <w:gridCol w:w="1926"/>
      </w:tblGrid>
      <w:tr>
        <w:trPr>
          <w:cantSplit/>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Segment</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Satisfied</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Dissatisfied</w:t>
            </w:r>
          </w:p>
        </w:tc>
        <w:tc>
          <w:tcPr>
            <w:tcW w:type="dxa" w:w="19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Passengers</w:t>
            </w:r>
          </w:p>
        </w:tc>
      </w:tr>
      <w:tr>
        <w:trPr>
          <w:cantSplit/>
        </w:trPr>
        <w:tc>
          <w:tcPr>
            <w:tcW w:type="dxa" w:w="34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Business travel × Returning</w:t>
            </w:r>
          </w:p>
        </w:tc>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70.62%</w:t>
            </w:r>
          </w:p>
        </w:tc>
        <w:tc>
          <w:tcPr>
            <w:tcW w:type="dxa" w:w="1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29.38%</w:t>
            </w:r>
          </w:p>
        </w:tc>
        <w:tc>
          <w:tcPr>
            <w:tcW w:type="dxa" w:w="192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66,114</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Business travel × First-time</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24.04%</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75.96%</w:t>
            </w:r>
          </w:p>
        </w:tc>
        <w:tc>
          <w:tcPr>
            <w:tcW w:type="dxa" w:w="19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23,579</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Personal travel × First-time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15.92%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84.08%</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201</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left"/>
            </w:pPr>
            <w:r>
              <w:rPr>
                <w:rFonts w:ascii="Calibri" w:cs="Calibri" w:eastAsia="Calibri" w:hAnsi="Calibri"/>
                <w:b/>
                <w:bCs/>
                <w:sz w:val="20"/>
                <w:szCs w:val="20"/>
              </w:rPr>
              <w:t xml:space="preserve">Personal travel × Returning</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10.10%</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89.90%</w:t>
            </w:r>
          </w:p>
        </w:tc>
        <w:tc>
          <w:tcPr>
            <w:tcW w:type="dxa" w:w="19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39,986</w:t>
            </w:r>
          </w:p>
        </w:tc>
      </w:tr>
    </w:tbl>
    <w:p>
      <w:pPr>
        <w:spacing w:after="200"/>
      </w:pPr>
    </w:p>
    <w:p>
      <w:pPr>
        <w:spacing w:after="140" w:line="300"/>
        <w:jc w:val="both"/>
      </w:pPr>
      <w:r>
        <w:rPr>
          <w:rFonts w:ascii="Times New Roman" w:cs="Times New Roman" w:eastAsia="Times New Roman" w:hAnsi="Times New Roman"/>
          <w:sz w:val="24"/>
          <w:szCs w:val="24"/>
        </w:rPr>
        <w:t xml:space="preserve">Cross-tabulating purpose of travel with customer type shows exact cohort rates. </w:t>
      </w:r>
      <w:r>
        <w:rPr>
          <w:rFonts w:ascii="Times New Roman" w:cs="Times New Roman" w:eastAsia="Times New Roman" w:hAnsi="Times New Roman"/>
          <w:b/>
          <w:bCs/>
          <w:sz w:val="24"/>
          <w:szCs w:val="24"/>
        </w:rPr>
        <w:t xml:space="preserve">Returning Business travellers</w:t>
      </w:r>
      <w:r>
        <w:rPr>
          <w:rFonts w:ascii="Times New Roman" w:cs="Times New Roman" w:eastAsia="Times New Roman" w:hAnsi="Times New Roman"/>
          <w:sz w:val="24"/>
          <w:szCs w:val="24"/>
        </w:rPr>
        <w:t xml:space="preserve"> form the highest-satisfaction segment (</w:t>
      </w:r>
      <w:r>
        <w:rPr>
          <w:rFonts w:ascii="Times New Roman" w:cs="Times New Roman" w:eastAsia="Times New Roman" w:hAnsi="Times New Roman"/>
          <w:b/>
          <w:bCs/>
          <w:sz w:val="24"/>
          <w:szCs w:val="24"/>
        </w:rPr>
        <w:t xml:space="preserve">70.62%</w:t>
      </w:r>
      <w:r>
        <w:rPr>
          <w:rFonts w:ascii="Times New Roman" w:cs="Times New Roman" w:eastAsia="Times New Roman" w:hAnsi="Times New Roman"/>
          <w:sz w:val="24"/>
          <w:szCs w:val="24"/>
        </w:rPr>
        <w:t xml:space="preserve"> satisfied), whereas </w:t>
      </w:r>
      <w:r>
        <w:rPr>
          <w:rFonts w:ascii="Times New Roman" w:cs="Times New Roman" w:eastAsia="Times New Roman" w:hAnsi="Times New Roman"/>
          <w:b/>
          <w:bCs/>
          <w:sz w:val="24"/>
          <w:szCs w:val="24"/>
        </w:rPr>
        <w:t xml:space="preserve">first-time Business travellers</w:t>
      </w:r>
      <w:r>
        <w:rPr>
          <w:rFonts w:ascii="Times New Roman" w:cs="Times New Roman" w:eastAsia="Times New Roman" w:hAnsi="Times New Roman"/>
          <w:sz w:val="24"/>
          <w:szCs w:val="24"/>
        </w:rPr>
        <w:t xml:space="preserve"> reach only </w:t>
      </w:r>
      <w:r>
        <w:rPr>
          <w:rFonts w:ascii="Times New Roman" w:cs="Times New Roman" w:eastAsia="Times New Roman" w:hAnsi="Times New Roman"/>
          <w:b/>
          <w:bCs/>
          <w:sz w:val="24"/>
          <w:szCs w:val="24"/>
        </w:rPr>
        <w:t xml:space="preserve">24.04%</w:t>
      </w:r>
      <w:r>
        <w:rPr>
          <w:rFonts w:ascii="Times New Roman" w:cs="Times New Roman" w:eastAsia="Times New Roman" w:hAnsi="Times New Roman"/>
          <w:sz w:val="24"/>
          <w:szCs w:val="24"/>
        </w:rPr>
        <w:t xml:space="preserve">. Personal travellers are far less satisfied: </w:t>
      </w:r>
      <w:r>
        <w:rPr>
          <w:rFonts w:ascii="Times New Roman" w:cs="Times New Roman" w:eastAsia="Times New Roman" w:hAnsi="Times New Roman"/>
          <w:b/>
          <w:bCs/>
          <w:sz w:val="24"/>
          <w:szCs w:val="24"/>
        </w:rPr>
        <w:t xml:space="preserve">15.92%</w:t>
      </w:r>
      <w:r>
        <w:rPr>
          <w:rFonts w:ascii="Times New Roman" w:cs="Times New Roman" w:eastAsia="Times New Roman" w:hAnsi="Times New Roman"/>
          <w:sz w:val="24"/>
          <w:szCs w:val="24"/>
        </w:rPr>
        <w:t xml:space="preserve"> of first-time and </w:t>
      </w:r>
      <w:r>
        <w:rPr>
          <w:rFonts w:ascii="Times New Roman" w:cs="Times New Roman" w:eastAsia="Times New Roman" w:hAnsi="Times New Roman"/>
          <w:b/>
          <w:bCs/>
          <w:sz w:val="24"/>
          <w:szCs w:val="24"/>
        </w:rPr>
        <w:t xml:space="preserve">10.10%</w:t>
      </w:r>
      <w:r>
        <w:rPr>
          <w:rFonts w:ascii="Times New Roman" w:cs="Times New Roman" w:eastAsia="Times New Roman" w:hAnsi="Times New Roman"/>
          <w:sz w:val="24"/>
          <w:szCs w:val="24"/>
        </w:rPr>
        <w:t xml:space="preserve"> of returning Personal travellers are satisfied, the latter being the lowest-satisfaction segment. The returning-customer advantage therefore exists only within Business travel. The passenger counts in Table 5 are computed from the dataset; note that the Personal × First-time segment contains only 201 passengers, so its rate is based on a much smaller sample than the other three. The notebook links the low Personal-travel rates to leisure flyers, who often travel in Economy, experiencing friction across multiple touchpoints.</w:t>
      </w:r>
    </w:p>
    <w:p>
      <w:pPr>
        <w:pStyle w:val="Heading2"/>
      </w:pPr>
      <w:r>
        <w:t xml:space="preserve">4.4 Service Touchpoint Rating Curves</w:t>
      </w:r>
    </w:p>
    <w:p>
      <w:pPr>
        <w:keepNext/>
        <w:spacing w:after="80" w:before="160"/>
        <w:jc w:val="center"/>
      </w:pPr>
      <w:r>
        <w:drawing>
          <wp:inline distT="0" distB="0" distL="0" distR="0">
            <wp:extent cx="5667375" cy="3076575"/>
            <wp:effectExtent t="0" r="0" b="0" l="0"/>
            <wp:docPr id="1" name="4_service_ratings_curve.png" descr="Satisfaction rate (%) across service rating levels 1 to 5 for eight touchpoin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076575"/>
                    </a:xfrm>
                    <a:prstGeom prst="rect">
                      <a:avLst/>
                    </a:prstGeom>
                  </pic:spPr>
                </pic:pic>
              </a:graphicData>
            </a:graphic>
          </wp:inline>
        </w:drawing>
      </w:r>
    </w:p>
    <w:p>
      <w:pPr>
        <w:spacing w:after="200"/>
        <w:jc w:val="center"/>
      </w:pPr>
      <w:r>
        <w:rPr>
          <w:rFonts w:ascii="Calibri" w:cs="Calibri" w:eastAsia="Calibri" w:hAnsi="Calibri"/>
          <w:b/>
          <w:bCs/>
          <w:color w:val="1F3864"/>
          <w:sz w:val="20"/>
          <w:szCs w:val="20"/>
        </w:rPr>
        <w:t xml:space="preserve">Figure 4: </w:t>
      </w:r>
      <w:r>
        <w:rPr>
          <w:rFonts w:ascii="Calibri" w:cs="Calibri" w:eastAsia="Calibri" w:hAnsi="Calibri"/>
          <w:i/>
          <w:iCs/>
          <w:color w:val="595959"/>
          <w:sz w:val="20"/>
          <w:szCs w:val="20"/>
        </w:rPr>
        <w:t xml:space="preserve">Satisfaction rate (%) across service rating levels 1 to 5 for eight touchpoints.</w:t>
      </w:r>
    </w:p>
    <w:p>
      <w:pPr>
        <w:spacing w:after="140" w:line="300"/>
        <w:jc w:val="both"/>
      </w:pPr>
      <w:r>
        <w:rPr>
          <w:rFonts w:ascii="Times New Roman" w:cs="Times New Roman" w:eastAsia="Times New Roman" w:hAnsi="Times New Roman"/>
          <w:sz w:val="24"/>
          <w:szCs w:val="24"/>
        </w:rPr>
        <w:t xml:space="preserve">The curves show steep, non-linear threshold dynamics: satisfaction stays low across ratings 1–3 and jumps at ratings 4 and 5. Table 6 gives the exact rates for the two strongest touchpoints (zero-coded “not applicable” responses excluded).</w:t>
      </w:r>
    </w:p>
    <w:p>
      <w:pPr>
        <w:keepNext/>
        <w:spacing w:after="80" w:before="160"/>
        <w:jc w:val="center"/>
      </w:pPr>
      <w:r>
        <w:rPr>
          <w:rFonts w:ascii="Calibri" w:cs="Calibri" w:eastAsia="Calibri" w:hAnsi="Calibri"/>
          <w:b/>
          <w:bCs/>
          <w:color w:val="1F3864"/>
          <w:sz w:val="20"/>
          <w:szCs w:val="20"/>
        </w:rPr>
        <w:t xml:space="preserve">Table 6: </w:t>
      </w:r>
      <w:r>
        <w:rPr>
          <w:rFonts w:ascii="Calibri" w:cs="Calibri" w:eastAsia="Calibri" w:hAnsi="Calibri"/>
          <w:i/>
          <w:iCs/>
          <w:color w:val="595959"/>
          <w:sz w:val="20"/>
          <w:szCs w:val="20"/>
        </w:rPr>
        <w:t xml:space="preserve">Satisfaction rate by rating level for the two leading digital touchpoints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000"/>
        <w:gridCol w:w="1963"/>
        <w:gridCol w:w="1963"/>
      </w:tblGrid>
      <w:tr>
        <w:trPr>
          <w:cantSplit/>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Rating</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Online Boarding – Satisfied</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Online Boarding – Dissatisfied</w:t>
            </w:r>
          </w:p>
        </w:tc>
        <w:tc>
          <w:tcPr>
            <w:tcW w:type="dxa" w:w="196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In-flight Wifi – Satisfied</w:t>
            </w:r>
          </w:p>
        </w:tc>
        <w:tc>
          <w:tcPr>
            <w:tcW w:type="dxa" w:w="196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In-flight Wifi – Dissatisfied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13.78%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86.22%</w:t>
            </w:r>
          </w:p>
        </w:tc>
        <w:tc>
          <w:tcPr>
            <w:tcW w:type="dxa" w:w="196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32.82%</w:t>
            </w:r>
          </w:p>
        </w:tc>
        <w:tc>
          <w:tcPr>
            <w:tcW w:type="dxa" w:w="196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67.18%</w:t>
            </w:r>
          </w:p>
        </w:tc>
      </w:tr>
      <w:tr>
        <w:trPr>
          <w:cantSplit/>
        </w:trPr>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11.45%</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88.55%</w:t>
            </w:r>
          </w:p>
        </w:tc>
        <w:tc>
          <w:tcPr>
            <w:tcW w:type="dxa" w:w="1963"/>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24.72%</w:t>
            </w:r>
          </w:p>
        </w:tc>
        <w:tc>
          <w:tcPr>
            <w:tcW w:type="dxa" w:w="1963"/>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75.28%</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13.76%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86.24%</w:t>
            </w:r>
          </w:p>
        </w:tc>
        <w:tc>
          <w:tcPr>
            <w:tcW w:type="dxa" w:w="196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25.18%</w:t>
            </w:r>
          </w:p>
        </w:tc>
        <w:tc>
          <w:tcPr>
            <w:tcW w:type="dxa" w:w="196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74.82%</w:t>
            </w:r>
          </w:p>
        </w:tc>
      </w:tr>
      <w:tr>
        <w:trPr>
          <w:cantSplit/>
        </w:trPr>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62.30%</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37.70%</w:t>
            </w:r>
          </w:p>
        </w:tc>
        <w:tc>
          <w:tcPr>
            <w:tcW w:type="dxa" w:w="1963"/>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60.08%</w:t>
            </w:r>
          </w:p>
        </w:tc>
        <w:tc>
          <w:tcPr>
            <w:tcW w:type="dxa" w:w="1963"/>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39.92%</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left"/>
            </w:pPr>
            <w:r>
              <w:rPr>
                <w:rFonts w:ascii="Calibri" w:cs="Calibri" w:eastAsia="Calibri" w:hAnsi="Calibri"/>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87.06%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12.94%</w:t>
            </w:r>
          </w:p>
        </w:tc>
        <w:tc>
          <w:tcPr>
            <w:tcW w:type="dxa" w:w="196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99.02%</w:t>
            </w:r>
          </w:p>
        </w:tc>
        <w:tc>
          <w:tcPr>
            <w:tcW w:type="dxa" w:w="196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0.98%</w:t>
            </w:r>
          </w:p>
        </w:tc>
      </w:tr>
    </w:tbl>
    <w:p>
      <w:pPr>
        <w:spacing w:after="200"/>
      </w:pP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Online Boarding:</w:t>
      </w:r>
      <w:r>
        <w:rPr>
          <w:rFonts w:ascii="Times New Roman" w:cs="Times New Roman" w:eastAsia="Times New Roman" w:hAnsi="Times New Roman"/>
          <w:sz w:val="24"/>
          <w:szCs w:val="24"/>
        </w:rPr>
        <w:t xml:space="preserve"> satisfaction is only 11.45%–13.78% at ratings 1–3, then rises to 62.30% at rating 4 and 87.06% at rating 5.</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In-flight Wifi Service:</w:t>
      </w:r>
      <w:r>
        <w:rPr>
          <w:rFonts w:ascii="Times New Roman" w:cs="Times New Roman" w:eastAsia="Times New Roman" w:hAnsi="Times New Roman"/>
          <w:sz w:val="24"/>
          <w:szCs w:val="24"/>
        </w:rPr>
        <w:t xml:space="preserve"> satisfaction is 24.72%–32.82% at ratings 1–3 (67.18%–75.28% dissatisfied), then 60.08% at rating 4 and 99.02% at rating 5 – the steepest curve in the chart.</w:t>
      </w:r>
    </w:p>
    <w:p>
      <w:pPr>
        <w:pStyle w:val="ListParagraph"/>
        <w:numPr>
          <w:ilvl w:val="0"/>
          <w:numId w:val="2"/>
        </w:numPr>
        <w:spacing w:after="80" w:line="290"/>
        <w:jc w:val="left"/>
      </w:pPr>
      <w:r>
        <w:rPr>
          <w:rFonts w:ascii="Times New Roman" w:cs="Times New Roman" w:eastAsia="Times New Roman" w:hAnsi="Times New Roman"/>
          <w:sz w:val="24"/>
          <w:szCs w:val="24"/>
        </w:rPr>
        <w:t xml:space="preserve">The other touchpoints in Figure 4 (In-flight Entertainment, Seat Comfort, Leg Room Service, Cleanliness, On-board Service and Baggage Handling) also show lower satisfaction at ratings 1–3 than at 4–5, but with a less pronounced jump than Online Boarding and Wifi.</w:t>
      </w:r>
    </w:p>
    <w:p>
      <w:pPr>
        <w:spacing w:after="140" w:line="300"/>
        <w:jc w:val="both"/>
      </w:pPr>
      <w:r>
        <w:rPr>
          <w:rFonts w:ascii="Times New Roman" w:cs="Times New Roman" w:eastAsia="Times New Roman" w:hAnsi="Times New Roman"/>
          <w:sz w:val="24"/>
          <w:szCs w:val="24"/>
        </w:rPr>
        <w:t xml:space="preserve">Digital and connectivity touchpoints therefore act as make-or-break differentiators. As a side note from the notebook, rating 0 (“not applicable”) behaves differently: 3,906 of the 3,916 passengers with a Wifi rating of 0 are satisfied.</w:t>
      </w:r>
    </w:p>
    <w:p>
      <w:pPr>
        <w:pStyle w:val="Heading2"/>
      </w:pPr>
      <w:r>
        <w:t xml:space="preserve">4.5 Impact of Departure Delay</w:t>
      </w:r>
    </w:p>
    <w:p>
      <w:pPr>
        <w:keepNext/>
        <w:spacing w:after="80" w:before="160"/>
        <w:jc w:val="center"/>
      </w:pPr>
      <w:r>
        <w:drawing>
          <wp:inline distT="0" distB="0" distL="0" distR="0">
            <wp:extent cx="5124450" cy="2819400"/>
            <wp:effectExtent t="0" r="0" b="0" l="0"/>
            <wp:docPr id="1" name="5_departure_delays_impact.png" descr="Passenger satisfaction by departure delay tie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819400"/>
                    </a:xfrm>
                    <a:prstGeom prst="rect">
                      <a:avLst/>
                    </a:prstGeom>
                  </pic:spPr>
                </pic:pic>
              </a:graphicData>
            </a:graphic>
          </wp:inline>
        </w:drawing>
      </w:r>
    </w:p>
    <w:p>
      <w:pPr>
        <w:spacing w:after="200"/>
        <w:jc w:val="center"/>
      </w:pPr>
      <w:r>
        <w:rPr>
          <w:rFonts w:ascii="Calibri" w:cs="Calibri" w:eastAsia="Calibri" w:hAnsi="Calibri"/>
          <w:b/>
          <w:bCs/>
          <w:color w:val="1F3864"/>
          <w:sz w:val="20"/>
          <w:szCs w:val="20"/>
        </w:rPr>
        <w:t xml:space="preserve">Figure 5: </w:t>
      </w:r>
      <w:r>
        <w:rPr>
          <w:rFonts w:ascii="Calibri" w:cs="Calibri" w:eastAsia="Calibri" w:hAnsi="Calibri"/>
          <w:i/>
          <w:iCs/>
          <w:color w:val="595959"/>
          <w:sz w:val="20"/>
          <w:szCs w:val="20"/>
        </w:rPr>
        <w:t xml:space="preserve">Passenger satisfaction by departure delay tier.</w:t>
      </w:r>
    </w:p>
    <w:p>
      <w:pPr>
        <w:keepNext/>
        <w:spacing w:after="80" w:before="160"/>
        <w:jc w:val="center"/>
      </w:pPr>
      <w:r>
        <w:rPr>
          <w:rFonts w:ascii="Calibri" w:cs="Calibri" w:eastAsia="Calibri" w:hAnsi="Calibri"/>
          <w:b/>
          <w:bCs/>
          <w:color w:val="1F3864"/>
          <w:sz w:val="20"/>
          <w:szCs w:val="20"/>
        </w:rPr>
        <w:t xml:space="preserve">Table 7: </w:t>
      </w:r>
      <w:r>
        <w:rPr>
          <w:rFonts w:ascii="Calibri" w:cs="Calibri" w:eastAsia="Calibri" w:hAnsi="Calibri"/>
          <w:i/>
          <w:iCs/>
          <w:color w:val="595959"/>
          <w:sz w:val="20"/>
          <w:szCs w:val="20"/>
        </w:rPr>
        <w:t xml:space="preserve">Satisfaction by departure delay tier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Departure delay</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Dissatisfied</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Satisfied</w:t>
            </w:r>
          </w:p>
        </w:tc>
        <w:tc>
          <w:tcPr>
            <w:tcW w:type="dxa" w:w="2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Passengers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0 min (on-time)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54.06%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45.94%</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73,356</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1–15 min</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56.45%</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43.55%</w:t>
            </w:r>
          </w:p>
        </w:tc>
        <w:tc>
          <w:tcPr>
            <w:tcW w:type="dxa" w:w="20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27,787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16–60 min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62.50%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37.50%</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19,762</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61–180 min</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64.15%</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35.85%</w:t>
            </w:r>
          </w:p>
        </w:tc>
        <w:tc>
          <w:tcPr>
            <w:tcW w:type="dxa" w:w="20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7,685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left"/>
            </w:pPr>
            <w:r>
              <w:rPr>
                <w:rFonts w:ascii="Calibri" w:cs="Calibri" w:eastAsia="Calibri" w:hAnsi="Calibri"/>
                <w:b/>
                <w:bCs/>
                <w:sz w:val="20"/>
                <w:szCs w:val="20"/>
              </w:rPr>
              <w:t xml:space="preserve">&gt; 180 min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64.11%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35.89%</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1,290</w:t>
            </w:r>
          </w:p>
        </w:tc>
      </w:tr>
    </w:tbl>
    <w:p>
      <w:pPr>
        <w:spacing w:after="200"/>
      </w:pPr>
    </w:p>
    <w:p>
      <w:pPr>
        <w:spacing w:after="140" w:line="300"/>
        <w:jc w:val="both"/>
      </w:pPr>
      <w:r>
        <w:rPr>
          <w:rFonts w:ascii="Times New Roman" w:cs="Times New Roman" w:eastAsia="Times New Roman" w:hAnsi="Times New Roman"/>
          <w:sz w:val="24"/>
          <w:szCs w:val="24"/>
        </w:rPr>
        <w:t xml:space="preserve">Dissatisfaction increases with delay length, but not dramatically. On-time departures already show </w:t>
      </w:r>
      <w:r>
        <w:rPr>
          <w:rFonts w:ascii="Times New Roman" w:cs="Times New Roman" w:eastAsia="Times New Roman" w:hAnsi="Times New Roman"/>
          <w:b/>
          <w:bCs/>
          <w:sz w:val="24"/>
          <w:szCs w:val="24"/>
        </w:rPr>
        <w:t xml:space="preserve">54.06%</w:t>
      </w:r>
      <w:r>
        <w:rPr>
          <w:rFonts w:ascii="Times New Roman" w:cs="Times New Roman" w:eastAsia="Times New Roman" w:hAnsi="Times New Roman"/>
          <w:sz w:val="24"/>
          <w:szCs w:val="24"/>
        </w:rPr>
        <w:t xml:space="preserve"> neutral/dissatisfied passengers, which indicates that core touchpoints (boarding, seats, Wifi) account for a large share of baseline dissatisfaction even without delays. The share rises to </w:t>
      </w:r>
      <w:r>
        <w:rPr>
          <w:rFonts w:ascii="Times New Roman" w:cs="Times New Roman" w:eastAsia="Times New Roman" w:hAnsi="Times New Roman"/>
          <w:b/>
          <w:bCs/>
          <w:sz w:val="24"/>
          <w:szCs w:val="24"/>
        </w:rPr>
        <w:t xml:space="preserve">56.45%</w:t>
      </w:r>
      <w:r>
        <w:rPr>
          <w:rFonts w:ascii="Times New Roman" w:cs="Times New Roman" w:eastAsia="Times New Roman" w:hAnsi="Times New Roman"/>
          <w:sz w:val="24"/>
          <w:szCs w:val="24"/>
        </w:rPr>
        <w:t xml:space="preserve"> for 1–15 minute delays and </w:t>
      </w:r>
      <w:r>
        <w:rPr>
          <w:rFonts w:ascii="Times New Roman" w:cs="Times New Roman" w:eastAsia="Times New Roman" w:hAnsi="Times New Roman"/>
          <w:b/>
          <w:bCs/>
          <w:sz w:val="24"/>
          <w:szCs w:val="24"/>
        </w:rPr>
        <w:t xml:space="preserve">62.50%</w:t>
      </w:r>
      <w:r>
        <w:rPr>
          <w:rFonts w:ascii="Times New Roman" w:cs="Times New Roman" w:eastAsia="Times New Roman" w:hAnsi="Times New Roman"/>
          <w:sz w:val="24"/>
          <w:szCs w:val="24"/>
        </w:rPr>
        <w:t xml:space="preserve"> for 16–60 minutes, reaches </w:t>
      </w:r>
      <w:r>
        <w:rPr>
          <w:rFonts w:ascii="Times New Roman" w:cs="Times New Roman" w:eastAsia="Times New Roman" w:hAnsi="Times New Roman"/>
          <w:b/>
          <w:bCs/>
          <w:sz w:val="24"/>
          <w:szCs w:val="24"/>
        </w:rPr>
        <w:t xml:space="preserve">64.15%</w:t>
      </w:r>
      <w:r>
        <w:rPr>
          <w:rFonts w:ascii="Times New Roman" w:cs="Times New Roman" w:eastAsia="Times New Roman" w:hAnsi="Times New Roman"/>
          <w:sz w:val="24"/>
          <w:szCs w:val="24"/>
        </w:rPr>
        <w:t xml:space="preserve"> for 61–180 minutes and then plateaus (</w:t>
      </w:r>
      <w:r>
        <w:rPr>
          <w:rFonts w:ascii="Times New Roman" w:cs="Times New Roman" w:eastAsia="Times New Roman" w:hAnsi="Times New Roman"/>
          <w:b/>
          <w:bCs/>
          <w:sz w:val="24"/>
          <w:szCs w:val="24"/>
        </w:rPr>
        <w:t xml:space="preserve">64.11%</w:t>
      </w:r>
      <w:r>
        <w:rPr>
          <w:rFonts w:ascii="Times New Roman" w:cs="Times New Roman" w:eastAsia="Times New Roman" w:hAnsi="Times New Roman"/>
          <w:sz w:val="24"/>
          <w:szCs w:val="24"/>
        </w:rPr>
        <w:t xml:space="preserve"> above 180 minutes). Punctuality therefore matters, but it explains only part of the picture. Passenger counts per tier are computed from the dataset; only 1,290 passengers experienced delays above 180 minutes.</w:t>
      </w:r>
    </w:p>
    <w:p>
      <w:pPr>
        <w:pStyle w:val="Heading2"/>
      </w:pPr>
      <w:r>
        <w:t xml:space="preserve">4.6 Age Profile</w:t>
      </w:r>
    </w:p>
    <w:p>
      <w:pPr>
        <w:keepNext/>
        <w:spacing w:after="80" w:before="160"/>
        <w:jc w:val="center"/>
      </w:pPr>
      <w:r>
        <w:drawing>
          <wp:inline distT="0" distB="0" distL="0" distR="0">
            <wp:extent cx="5124450" cy="2819400"/>
            <wp:effectExtent t="0" r="0" b="0" l="0"/>
            <wp:docPr id="1" name="6_age_satisfaction_distribution.png" descr="Age density by satisfaction statu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819400"/>
                    </a:xfrm>
                    <a:prstGeom prst="rect">
                      <a:avLst/>
                    </a:prstGeom>
                  </pic:spPr>
                </pic:pic>
              </a:graphicData>
            </a:graphic>
          </wp:inline>
        </w:drawing>
      </w:r>
    </w:p>
    <w:p>
      <w:pPr>
        <w:spacing w:after="200"/>
        <w:jc w:val="center"/>
      </w:pPr>
      <w:r>
        <w:rPr>
          <w:rFonts w:ascii="Calibri" w:cs="Calibri" w:eastAsia="Calibri" w:hAnsi="Calibri"/>
          <w:b/>
          <w:bCs/>
          <w:color w:val="1F3864"/>
          <w:sz w:val="20"/>
          <w:szCs w:val="20"/>
        </w:rPr>
        <w:t xml:space="preserve">Figure 6: </w:t>
      </w:r>
      <w:r>
        <w:rPr>
          <w:rFonts w:ascii="Calibri" w:cs="Calibri" w:eastAsia="Calibri" w:hAnsi="Calibri"/>
          <w:i/>
          <w:iCs/>
          <w:color w:val="595959"/>
          <w:sz w:val="20"/>
          <w:szCs w:val="20"/>
        </w:rPr>
        <w:t xml:space="preserve">Age density by satisfaction status.</w:t>
      </w:r>
    </w:p>
    <w:p>
      <w:pPr>
        <w:spacing w:after="140" w:line="300"/>
        <w:jc w:val="both"/>
      </w:pPr>
      <w:r>
        <w:rPr>
          <w:rFonts w:ascii="Times New Roman" w:cs="Times New Roman" w:eastAsia="Times New Roman" w:hAnsi="Times New Roman"/>
          <w:sz w:val="24"/>
          <w:szCs w:val="24"/>
        </w:rPr>
        <w:t xml:space="preserve">The notebook’s interpretation is that passengers aged </w:t>
      </w:r>
      <w:r>
        <w:rPr>
          <w:rFonts w:ascii="Times New Roman" w:cs="Times New Roman" w:eastAsia="Times New Roman" w:hAnsi="Times New Roman"/>
          <w:b/>
          <w:bCs/>
          <w:sz w:val="24"/>
          <w:szCs w:val="24"/>
        </w:rPr>
        <w:t xml:space="preserve">40 to 60</w:t>
      </w:r>
      <w:r>
        <w:rPr>
          <w:rFonts w:ascii="Times New Roman" w:cs="Times New Roman" w:eastAsia="Times New Roman" w:hAnsi="Times New Roman"/>
          <w:sz w:val="24"/>
          <w:szCs w:val="24"/>
        </w:rPr>
        <w:t xml:space="preserve"> show the highest concentration of satisfied passengers (frequent business travellers), whereas young adults (</w:t>
      </w:r>
      <w:r>
        <w:rPr>
          <w:rFonts w:ascii="Times New Roman" w:cs="Times New Roman" w:eastAsia="Times New Roman" w:hAnsi="Times New Roman"/>
          <w:b/>
          <w:bCs/>
          <w:sz w:val="24"/>
          <w:szCs w:val="24"/>
        </w:rPr>
        <w:t xml:space="preserve">18 to 32</w:t>
      </w:r>
      <w:r>
        <w:rPr>
          <w:rFonts w:ascii="Times New Roman" w:cs="Times New Roman" w:eastAsia="Times New Roman" w:hAnsi="Times New Roman"/>
          <w:sz w:val="24"/>
          <w:szCs w:val="24"/>
        </w:rPr>
        <w:t xml:space="preserve">) are disproportionately dissatisfied. Satisfaction rates computed from the dataset are consistent with this: </w:t>
      </w:r>
      <w:r>
        <w:rPr>
          <w:rFonts w:ascii="Times New Roman" w:cs="Times New Roman" w:eastAsia="Times New Roman" w:hAnsi="Times New Roman"/>
          <w:b/>
          <w:bCs/>
          <w:sz w:val="24"/>
          <w:szCs w:val="24"/>
        </w:rPr>
        <w:t xml:space="preserve">57.63%</w:t>
      </w:r>
      <w:r>
        <w:rPr>
          <w:rFonts w:ascii="Times New Roman" w:cs="Times New Roman" w:eastAsia="Times New Roman" w:hAnsi="Times New Roman"/>
          <w:sz w:val="24"/>
          <w:szCs w:val="24"/>
        </w:rPr>
        <w:t xml:space="preserve"> of passengers aged 40–60 (55,763 passengers) are satisfied, compared with </w:t>
      </w:r>
      <w:r>
        <w:rPr>
          <w:rFonts w:ascii="Times New Roman" w:cs="Times New Roman" w:eastAsia="Times New Roman" w:hAnsi="Times New Roman"/>
          <w:b/>
          <w:bCs/>
          <w:sz w:val="24"/>
          <w:szCs w:val="24"/>
        </w:rPr>
        <w:t xml:space="preserve">35.95%</w:t>
      </w:r>
      <w:r>
        <w:rPr>
          <w:rFonts w:ascii="Times New Roman" w:cs="Times New Roman" w:eastAsia="Times New Roman" w:hAnsi="Times New Roman"/>
          <w:sz w:val="24"/>
          <w:szCs w:val="24"/>
        </w:rPr>
        <w:t xml:space="preserve"> of those aged 18–32 (34,968 passengers). The youngest (17 and under; 16.73%) and oldest (61 and over; 20.82%) groups show the lowest satisfaction rates.</w:t>
      </w:r>
    </w:p>
    <w:p>
      <w:pPr>
        <w:pStyle w:val="Heading1"/>
        <w:pageBreakBefore/>
      </w:pPr>
      <w:r>
        <w:t xml:space="preserve">5. Machine Learning Methodology</w:t>
      </w:r>
    </w:p>
    <w:p>
      <w:pPr>
        <w:pStyle w:val="Heading2"/>
      </w:pPr>
      <w:r>
        <w:t xml:space="preserve">5.1 Problem Formulation</w:t>
      </w:r>
    </w:p>
    <w:p>
      <w:pPr>
        <w:spacing w:after="140" w:line="300"/>
        <w:jc w:val="both"/>
      </w:pPr>
      <w:r>
        <w:rPr>
          <w:rFonts w:ascii="Times New Roman" w:cs="Times New Roman" w:eastAsia="Times New Roman" w:hAnsi="Times New Roman"/>
          <w:sz w:val="24"/>
          <w:szCs w:val="24"/>
        </w:rPr>
        <w:t xml:space="preserve">The task is supervised binary classification: predict Satisfaction (1 = Satisfied, 0 = Neutral or Dissatisfied) from 22 input variables (all columns except ID and the target). The positive class is “Satisfied”.</w:t>
      </w:r>
    </w:p>
    <w:p>
      <w:pPr>
        <w:pStyle w:val="Heading2"/>
      </w:pPr>
      <w:r>
        <w:t xml:space="preserve">5.2 Train/Test Split</w:t>
      </w:r>
    </w:p>
    <w:p>
      <w:pPr>
        <w:keepNext/>
        <w:spacing w:after="80" w:before="160"/>
        <w:jc w:val="center"/>
      </w:pPr>
      <w:r>
        <w:rPr>
          <w:rFonts w:ascii="Calibri" w:cs="Calibri" w:eastAsia="Calibri" w:hAnsi="Calibri"/>
          <w:b/>
          <w:bCs/>
          <w:color w:val="1F3864"/>
          <w:sz w:val="20"/>
          <w:szCs w:val="20"/>
        </w:rPr>
        <w:t xml:space="preserve">Table 8: </w:t>
      </w:r>
      <w:r>
        <w:rPr>
          <w:rFonts w:ascii="Calibri" w:cs="Calibri" w:eastAsia="Calibri" w:hAnsi="Calibri"/>
          <w:i/>
          <w:iCs/>
          <w:color w:val="595959"/>
          <w:sz w:val="20"/>
          <w:szCs w:val="20"/>
        </w:rPr>
        <w:t xml:space="preserve">Stratified 80/20 split (random_state = 42)</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400"/>
        <w:gridCol w:w="1700"/>
        <w:gridCol w:w="202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Partition</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Observations</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Share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Satisfied</w:t>
            </w:r>
          </w:p>
        </w:tc>
        <w:tc>
          <w:tcPr>
            <w:tcW w:type="dxa" w:w="2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Neutral/Dissatisfied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Training set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103,904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80.0%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43.45%</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56.55%</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left"/>
            </w:pPr>
            <w:r>
              <w:rPr>
                <w:rFonts w:ascii="Calibri" w:cs="Calibri" w:eastAsia="Calibri" w:hAnsi="Calibri"/>
                <w:b w:val="false"/>
                <w:bCs w:val="false"/>
                <w:sz w:val="20"/>
                <w:szCs w:val="20"/>
              </w:rPr>
              <w:t xml:space="preserve">Test set</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25,976</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20.0%</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43.45%</w:t>
            </w:r>
          </w:p>
        </w:tc>
        <w:tc>
          <w:tcPr>
            <w:tcW w:type="dxa" w:w="20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56.55%</w:t>
            </w:r>
          </w:p>
        </w:tc>
      </w:tr>
    </w:tbl>
    <w:p>
      <w:pPr>
        <w:spacing w:after="200"/>
      </w:pPr>
    </w:p>
    <w:p>
      <w:pPr>
        <w:spacing w:after="140" w:line="300"/>
        <w:jc w:val="both"/>
      </w:pPr>
      <w:r>
        <w:rPr>
          <w:rFonts w:ascii="Times New Roman" w:cs="Times New Roman" w:eastAsia="Times New Roman" w:hAnsi="Times New Roman"/>
          <w:sz w:val="24"/>
          <w:szCs w:val="24"/>
        </w:rPr>
        <w:t xml:space="preserve">Stratification kept the class ratio identical in both partitions. The test set was used only for evaluation.</w:t>
      </w:r>
    </w:p>
    <w:p>
      <w:pPr>
        <w:pStyle w:val="Heading2"/>
      </w:pPr>
      <w:r>
        <w:t xml:space="preserve">5.3 Models</w:t>
      </w:r>
    </w:p>
    <w:p>
      <w:pPr>
        <w:keepNext/>
        <w:spacing w:after="80" w:before="160"/>
        <w:jc w:val="center"/>
      </w:pPr>
      <w:r>
        <w:rPr>
          <w:rFonts w:ascii="Calibri" w:cs="Calibri" w:eastAsia="Calibri" w:hAnsi="Calibri"/>
          <w:b/>
          <w:bCs/>
          <w:color w:val="1F3864"/>
          <w:sz w:val="20"/>
          <w:szCs w:val="20"/>
        </w:rPr>
        <w:t xml:space="preserve">Table 9: </w:t>
      </w:r>
      <w:r>
        <w:rPr>
          <w:rFonts w:ascii="Calibri" w:cs="Calibri" w:eastAsia="Calibri" w:hAnsi="Calibri"/>
          <w:i/>
          <w:iCs/>
          <w:color w:val="595959"/>
          <w:sz w:val="20"/>
          <w:szCs w:val="20"/>
        </w:rPr>
        <w:t xml:space="preserve">Models benchmarked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12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Model</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Role</w:t>
            </w:r>
          </w:p>
        </w:tc>
        <w:tc>
          <w:tcPr>
            <w:tcW w:type="dxa" w:w="4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Configuration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Logistic Regression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Linear baseline</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L2 regularisation, L-BFGS solver, max_iter = 1000, random_state = 42</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left"/>
            </w:pPr>
            <w:r>
              <w:rPr>
                <w:rFonts w:ascii="Calibri" w:cs="Calibri" w:eastAsia="Calibri" w:hAnsi="Calibri"/>
                <w:b/>
                <w:bCs/>
                <w:sz w:val="20"/>
                <w:szCs w:val="20"/>
              </w:rPr>
              <w:t xml:space="preserve">Random Forest Classifier</w:t>
            </w:r>
          </w:p>
        </w:tc>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left"/>
            </w:pPr>
            <w:r>
              <w:rPr>
                <w:rFonts w:ascii="Calibri" w:cs="Calibri" w:eastAsia="Calibri" w:hAnsi="Calibri"/>
                <w:b w:val="false"/>
                <w:bCs w:val="false"/>
                <w:sz w:val="20"/>
                <w:szCs w:val="20"/>
              </w:rPr>
              <w:t xml:space="preserve">Non-linear ensemble (champion)</w:t>
            </w:r>
          </w:p>
        </w:tc>
        <w:tc>
          <w:tcPr>
            <w:tcW w:type="dxa" w:w="4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left"/>
            </w:pPr>
            <w:r>
              <w:rPr>
                <w:rFonts w:ascii="Calibri" w:cs="Calibri" w:eastAsia="Calibri" w:hAnsi="Calibri"/>
                <w:b w:val="false"/>
                <w:bCs w:val="false"/>
                <w:sz w:val="20"/>
                <w:szCs w:val="20"/>
              </w:rPr>
              <w:t xml:space="preserve">100 estimators, max_depth = 16, random_state = 42, parallelised (n_jobs = -1)</w:t>
            </w:r>
          </w:p>
        </w:tc>
      </w:tr>
    </w:tbl>
    <w:p>
      <w:pPr>
        <w:spacing w:after="200"/>
      </w:pPr>
    </w:p>
    <w:p>
      <w:pPr>
        <w:spacing w:after="140" w:line="300"/>
        <w:jc w:val="both"/>
      </w:pPr>
      <w:r>
        <w:rPr>
          <w:rFonts w:ascii="Times New Roman" w:cs="Times New Roman" w:eastAsia="Times New Roman" w:hAnsi="Times New Roman"/>
          <w:sz w:val="24"/>
          <w:szCs w:val="24"/>
        </w:rPr>
        <w:t xml:space="preserve">Both models share the same preprocessing ColumnTransformer inside a scikit-learn Pipeline. Logistic Regression provides an interpretable linear benchmark, while the Random Forest captures non-linear effects and interactions between ratings, travel purpose and cabin class. The environment requires Python 3.10+ and the packages in requirements.txt (pandas ≥ 2.0.0, numpy ≥ 1.24.0, scikit-learn ≥ 1.4.0, matplotlib ≥ 3.7.0, seaborn ≥ 0.12.0, streamlit ≥ 1.28.0, joblib ≥ 1.3.0, scipy ≥ 1.10.0). The fitted pipelines were saved with joblib (models/satisfaction_lr_model.joblib and models/satisfaction_rf_model.joblib).</w:t>
      </w:r>
    </w:p>
    <w:p>
      <w:pPr>
        <w:pStyle w:val="Heading2"/>
      </w:pPr>
      <w:r>
        <w:t xml:space="preserve">5.4 Evaluation Metrics</w:t>
      </w:r>
    </w:p>
    <w:p>
      <w:pPr>
        <w:spacing w:after="140" w:line="300"/>
        <w:jc w:val="both"/>
      </w:pPr>
      <w:r>
        <w:rPr>
          <w:rFonts w:ascii="Times New Roman" w:cs="Times New Roman" w:eastAsia="Times New Roman" w:hAnsi="Times New Roman"/>
          <w:sz w:val="24"/>
          <w:szCs w:val="24"/>
        </w:rPr>
        <w:t xml:space="preserve">Models were compared on the held-out test set using Accuracy, Precision, Recall, F1-score and ROC-AUC, complemented by normalised confusion matrices, ROC curves and Precision–Recall curves. Feature importance for the Random Forest was measured with mean decrease in impurity (MDI / Gini importance).</w:t>
      </w:r>
    </w:p>
    <w:p>
      <w:pPr>
        <w:pStyle w:val="Heading1"/>
        <w:pageBreakBefore/>
      </w:pPr>
      <w:r>
        <w:t xml:space="preserve">6. Model Evaluation &amp; Results</w:t>
      </w:r>
    </w:p>
    <w:p>
      <w:pPr>
        <w:pStyle w:val="Heading2"/>
      </w:pPr>
      <w:r>
        <w:t xml:space="preserve">6.1 Performance Comparison</w:t>
      </w:r>
    </w:p>
    <w:p>
      <w:pPr>
        <w:keepNext/>
        <w:spacing w:after="80" w:before="160"/>
        <w:jc w:val="center"/>
      </w:pPr>
      <w:r>
        <w:rPr>
          <w:rFonts w:ascii="Calibri" w:cs="Calibri" w:eastAsia="Calibri" w:hAnsi="Calibri"/>
          <w:b/>
          <w:bCs/>
          <w:color w:val="1F3864"/>
          <w:sz w:val="20"/>
          <w:szCs w:val="20"/>
        </w:rPr>
        <w:t xml:space="preserve">Table 10: </w:t>
      </w:r>
      <w:r>
        <w:rPr>
          <w:rFonts w:ascii="Calibri" w:cs="Calibri" w:eastAsia="Calibri" w:hAnsi="Calibri"/>
          <w:i/>
          <w:iCs/>
          <w:color w:val="595959"/>
          <w:sz w:val="20"/>
          <w:szCs w:val="20"/>
        </w:rPr>
        <w:t xml:space="preserve">Test-set performance of the two models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26"/>
        <w:gridCol w:w="1250"/>
        <w:gridCol w:w="1250"/>
        <w:gridCol w:w="1250"/>
        <w:gridCol w:w="1300"/>
        <w:gridCol w:w="1350"/>
      </w:tblGrid>
      <w:tr>
        <w:trPr>
          <w:cantSplit/>
          <w:tblHeader/>
        </w:trPr>
        <w:tc>
          <w:tcPr>
            <w:tcW w:type="dxa" w:w="2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Model</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Accuracy</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Precision</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Recall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F1-Score</w:t>
            </w:r>
          </w:p>
        </w:tc>
        <w:tc>
          <w:tcPr>
            <w:tcW w:type="dxa" w:w="13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ROC-AUC</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Logistic Regression (Baseline)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87.71%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87.16%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84.11%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85.61%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0.9295</w:t>
            </w:r>
          </w:p>
        </w:tc>
      </w:tr>
      <w:tr>
        <w:trPr>
          <w:cantSplit/>
        </w:trPr>
        <w:tc>
          <w:tcPr>
            <w:tcW w:type="dxa" w:w="262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Random Forest (Champion)</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keepNext/>
              <w:jc w:val="center"/>
            </w:pPr>
            <w:r>
              <w:rPr>
                <w:rFonts w:ascii="Calibri" w:cs="Calibri" w:eastAsia="Calibri" w:hAnsi="Calibri"/>
                <w:b/>
                <w:bCs/>
                <w:sz w:val="20"/>
                <w:szCs w:val="20"/>
              </w:rPr>
              <w:t xml:space="preserve">96.09%</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keepNext/>
              <w:jc w:val="center"/>
            </w:pPr>
            <w:r>
              <w:rPr>
                <w:rFonts w:ascii="Calibri" w:cs="Calibri" w:eastAsia="Calibri" w:hAnsi="Calibri"/>
                <w:b/>
                <w:bCs/>
                <w:sz w:val="20"/>
                <w:szCs w:val="20"/>
              </w:rPr>
              <w:t xml:space="preserve">96.61%</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keepNext/>
              <w:jc w:val="center"/>
            </w:pPr>
            <w:r>
              <w:rPr>
                <w:rFonts w:ascii="Calibri" w:cs="Calibri" w:eastAsia="Calibri" w:hAnsi="Calibri"/>
                <w:b/>
                <w:bCs/>
                <w:sz w:val="20"/>
                <w:szCs w:val="20"/>
              </w:rPr>
              <w:t xml:space="preserve">94.30%</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keepNext/>
              <w:jc w:val="center"/>
            </w:pPr>
            <w:r>
              <w:rPr>
                <w:rFonts w:ascii="Calibri" w:cs="Calibri" w:eastAsia="Calibri" w:hAnsi="Calibri"/>
                <w:b/>
                <w:bCs/>
                <w:sz w:val="20"/>
                <w:szCs w:val="20"/>
              </w:rPr>
              <w:t xml:space="preserve">95.44%</w:t>
            </w:r>
          </w:p>
        </w:tc>
        <w:tc>
          <w:tcPr>
            <w:tcW w:type="dxa" w:w="13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keepNext/>
              <w:jc w:val="center"/>
            </w:pPr>
            <w:r>
              <w:rPr>
                <w:rFonts w:ascii="Calibri" w:cs="Calibri" w:eastAsia="Calibri" w:hAnsi="Calibri"/>
                <w:b/>
                <w:bCs/>
                <w:sz w:val="20"/>
                <w:szCs w:val="20"/>
              </w:rPr>
              <w:t xml:space="preserve">0.9934</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left"/>
            </w:pPr>
            <w:r>
              <w:rPr>
                <w:rFonts w:ascii="Calibri" w:cs="Calibri" w:eastAsia="Calibri" w:hAnsi="Calibri"/>
                <w:b w:val="false"/>
                <w:bCs w:val="false"/>
                <w:sz w:val="20"/>
                <w:szCs w:val="20"/>
              </w:rPr>
              <w:t xml:space="preserve">Improvement (RF – LR)</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+8.38 pts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+9.45 pts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+10.19 pts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+9.83 pts</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+0.0639</w:t>
            </w:r>
          </w:p>
        </w:tc>
      </w:tr>
    </w:tbl>
    <w:p>
      <w:pPr>
        <w:spacing w:after="200"/>
      </w:pPr>
    </w:p>
    <w:p>
      <w:pPr>
        <w:spacing w:after="140" w:line="300"/>
        <w:jc w:val="both"/>
      </w:pPr>
      <w:r>
        <w:rPr>
          <w:rFonts w:ascii="Times New Roman" w:cs="Times New Roman" w:eastAsia="Times New Roman" w:hAnsi="Times New Roman"/>
          <w:sz w:val="24"/>
          <w:szCs w:val="24"/>
        </w:rPr>
        <w:t xml:space="preserve">The Random Forest outperforms the baseline on every metric. Accuracy improves by 8.38 percentage points, and recall – the share of truly satisfied passengers correctly identified – improves by 10.19 points. The ROC-AUC of 0.9934 indicates near-perfect ranking of satisfied versus non-satisfied passengers on the test set.</w:t>
      </w:r>
    </w:p>
    <w:p>
      <w:pPr>
        <w:pStyle w:val="Heading2"/>
      </w:pPr>
      <w:r>
        <w:t xml:space="preserve">6.2 Confusion Matrices</w:t>
      </w:r>
    </w:p>
    <w:p>
      <w:pPr>
        <w:keepNext/>
        <w:spacing w:after="80" w:before="160"/>
        <w:jc w:val="center"/>
      </w:pPr>
      <w:r>
        <w:drawing>
          <wp:inline distT="0" distB="0" distL="0" distR="0">
            <wp:extent cx="5762625" cy="2371725"/>
            <wp:effectExtent t="0" r="0" b="0" l="0"/>
            <wp:docPr id="1" name="7_confusion_matrices.png" descr="Normalised confusion matrices for Logistic Regression (left) and Random Forest (righ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371725"/>
                    </a:xfrm>
                    <a:prstGeom prst="rect">
                      <a:avLst/>
                    </a:prstGeom>
                  </pic:spPr>
                </pic:pic>
              </a:graphicData>
            </a:graphic>
          </wp:inline>
        </w:drawing>
      </w:r>
    </w:p>
    <w:p>
      <w:pPr>
        <w:spacing w:after="200"/>
        <w:jc w:val="center"/>
      </w:pPr>
      <w:r>
        <w:rPr>
          <w:rFonts w:ascii="Calibri" w:cs="Calibri" w:eastAsia="Calibri" w:hAnsi="Calibri"/>
          <w:b/>
          <w:bCs/>
          <w:color w:val="1F3864"/>
          <w:sz w:val="20"/>
          <w:szCs w:val="20"/>
        </w:rPr>
        <w:t xml:space="preserve">Figure 7: </w:t>
      </w:r>
      <w:r>
        <w:rPr>
          <w:rFonts w:ascii="Calibri" w:cs="Calibri" w:eastAsia="Calibri" w:hAnsi="Calibri"/>
          <w:i/>
          <w:iCs/>
          <w:color w:val="595959"/>
          <w:sz w:val="20"/>
          <w:szCs w:val="20"/>
        </w:rPr>
        <w:t xml:space="preserve">Normalised confusion matrices for Logistic Regression (left) and Random Forest (right).</w:t>
      </w:r>
    </w:p>
    <w:p>
      <w:pPr>
        <w:keepNext/>
        <w:spacing w:after="80" w:before="160"/>
        <w:jc w:val="center"/>
      </w:pPr>
      <w:r>
        <w:rPr>
          <w:rFonts w:ascii="Calibri" w:cs="Calibri" w:eastAsia="Calibri" w:hAnsi="Calibri"/>
          <w:b/>
          <w:bCs/>
          <w:color w:val="1F3864"/>
          <w:sz w:val="20"/>
          <w:szCs w:val="20"/>
        </w:rPr>
        <w:t xml:space="preserve">Table 11: </w:t>
      </w:r>
      <w:r>
        <w:rPr>
          <w:rFonts w:ascii="Calibri" w:cs="Calibri" w:eastAsia="Calibri" w:hAnsi="Calibri"/>
          <w:i/>
          <w:iCs/>
          <w:color w:val="595959"/>
          <w:sz w:val="20"/>
          <w:szCs w:val="20"/>
        </w:rPr>
        <w:t xml:space="preserve">Normalised confusion-matrix rates (rows = true class)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830"/>
        <w:gridCol w:w="1830"/>
        <w:gridCol w:w="1830"/>
        <w:gridCol w:w="183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Model</w:t>
            </w:r>
          </w:p>
        </w:tc>
        <w:tc>
          <w:tcPr>
            <w:tcW w:type="dxa" w:w="18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True Neutral/Dissatisfied → predicted correctly</w:t>
            </w:r>
          </w:p>
        </w:tc>
        <w:tc>
          <w:tcPr>
            <w:tcW w:type="dxa" w:w="18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True Neutral/Dissatisfied → predicted Satisfied</w:t>
            </w:r>
          </w:p>
        </w:tc>
        <w:tc>
          <w:tcPr>
            <w:tcW w:type="dxa" w:w="18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True Satisfied → predicted Neutral/Dissatisfied</w:t>
            </w:r>
          </w:p>
        </w:tc>
        <w:tc>
          <w:tcPr>
            <w:tcW w:type="dxa" w:w="183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True Satisfied → predicted correctly</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Logistic Regression</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90.48%</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9.52%</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15.89%</w:t>
            </w:r>
          </w:p>
        </w:tc>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84.11%</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left"/>
            </w:pPr>
            <w:r>
              <w:rPr>
                <w:rFonts w:ascii="Calibri" w:cs="Calibri" w:eastAsia="Calibri" w:hAnsi="Calibri"/>
                <w:b/>
                <w:bCs/>
                <w:sz w:val="20"/>
                <w:szCs w:val="20"/>
              </w:rPr>
              <w:t xml:space="preserve">Random Forest</w:t>
            </w:r>
          </w:p>
        </w:tc>
        <w:tc>
          <w:tcPr>
            <w:tcW w:type="dxa" w:w="183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97.46%</w:t>
            </w:r>
          </w:p>
        </w:tc>
        <w:tc>
          <w:tcPr>
            <w:tcW w:type="dxa" w:w="183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2.54%</w:t>
            </w:r>
          </w:p>
        </w:tc>
        <w:tc>
          <w:tcPr>
            <w:tcW w:type="dxa" w:w="183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5.70%</w:t>
            </w:r>
          </w:p>
        </w:tc>
        <w:tc>
          <w:tcPr>
            <w:tcW w:type="dxa" w:w="183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94.30%</w:t>
            </w:r>
          </w:p>
        </w:tc>
      </w:tr>
    </w:tbl>
    <w:p>
      <w:pPr>
        <w:spacing w:after="200"/>
      </w:pPr>
    </w:p>
    <w:p>
      <w:pPr>
        <w:spacing w:after="140" w:line="300"/>
        <w:jc w:val="both"/>
      </w:pPr>
      <w:r>
        <w:rPr>
          <w:rFonts w:ascii="Times New Roman" w:cs="Times New Roman" w:eastAsia="Times New Roman" w:hAnsi="Times New Roman"/>
          <w:sz w:val="24"/>
          <w:szCs w:val="24"/>
        </w:rPr>
        <w:t xml:space="preserve">The Random Forest correctly recognises 97.46% of neutral/dissatisfied passengers and 94.30% of satisfied passengers. Compared with the baseline, it reduces the rate of dissatisfied passengers wrongly predicted as satisfied from 9.52% to 2.54%, and the rate of satisfied passengers wrongly predicted as dissatisfied from 15.89% to 5.70%.</w:t>
      </w:r>
    </w:p>
    <w:p>
      <w:pPr>
        <w:spacing w:after="140" w:line="300"/>
        <w:jc w:val="both"/>
      </w:pPr>
      <w:r>
        <w:rPr>
          <w:rFonts w:ascii="Times New Roman" w:cs="Times New Roman" w:eastAsia="Times New Roman" w:hAnsi="Times New Roman"/>
          <w:b/>
          <w:bCs/>
          <w:sz w:val="24"/>
          <w:szCs w:val="24"/>
        </w:rPr>
        <w:t xml:space="preserve">Error trade-off.</w:t>
      </w:r>
      <w:r>
        <w:rPr>
          <w:rFonts w:ascii="Times New Roman" w:cs="Times New Roman" w:eastAsia="Times New Roman" w:hAnsi="Times New Roman"/>
          <w:sz w:val="24"/>
          <w:szCs w:val="24"/>
        </w:rPr>
        <w:t xml:space="preserve"> The project treats predicting “Satisfied” for a passenger who is actually dissatisfied (false positive) as the more costly error, because the passenger may leave silently without any service-recovery action. The opposite error (false negative) is considered cheaper, as it only results in an unnecessary courtesy gesture. The Random Forest’s low false-positive rate (2.54%) is therefore particularly valuable for this use case.</w:t>
      </w:r>
    </w:p>
    <w:p>
      <w:pPr>
        <w:pStyle w:val="Heading2"/>
      </w:pPr>
      <w:r>
        <w:t xml:space="preserve">6.3 ROC and Precision–Recall Curves</w:t>
      </w:r>
    </w:p>
    <w:p>
      <w:pPr>
        <w:keepNext/>
        <w:spacing w:after="80" w:before="160"/>
        <w:jc w:val="center"/>
      </w:pPr>
      <w:r>
        <w:drawing>
          <wp:inline distT="0" distB="0" distL="0" distR="0">
            <wp:extent cx="5762625" cy="2190750"/>
            <wp:effectExtent t="0" r="0" b="0" l="0"/>
            <wp:docPr id="1" name="8_roc_pr_curves.png" descr="ROC curves (left) and Precision–Recall curves (right) for both model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190750"/>
                    </a:xfrm>
                    <a:prstGeom prst="rect">
                      <a:avLst/>
                    </a:prstGeom>
                  </pic:spPr>
                </pic:pic>
              </a:graphicData>
            </a:graphic>
          </wp:inline>
        </w:drawing>
      </w:r>
    </w:p>
    <w:p>
      <w:pPr>
        <w:spacing w:after="200"/>
        <w:jc w:val="center"/>
      </w:pPr>
      <w:r>
        <w:rPr>
          <w:rFonts w:ascii="Calibri" w:cs="Calibri" w:eastAsia="Calibri" w:hAnsi="Calibri"/>
          <w:b/>
          <w:bCs/>
          <w:color w:val="1F3864"/>
          <w:sz w:val="20"/>
          <w:szCs w:val="20"/>
        </w:rPr>
        <w:t xml:space="preserve">Figure 8: </w:t>
      </w:r>
      <w:r>
        <w:rPr>
          <w:rFonts w:ascii="Calibri" w:cs="Calibri" w:eastAsia="Calibri" w:hAnsi="Calibri"/>
          <w:i/>
          <w:iCs/>
          <w:color w:val="595959"/>
          <w:sz w:val="20"/>
          <w:szCs w:val="20"/>
        </w:rPr>
        <w:t xml:space="preserve">ROC curves (left) and Precision–Recall curves (right) for both models.</w:t>
      </w:r>
    </w:p>
    <w:p>
      <w:pPr>
        <w:spacing w:after="140" w:line="300"/>
        <w:jc w:val="both"/>
      </w:pPr>
      <w:r>
        <w:rPr>
          <w:rFonts w:ascii="Times New Roman" w:cs="Times New Roman" w:eastAsia="Times New Roman" w:hAnsi="Times New Roman"/>
          <w:sz w:val="24"/>
          <w:szCs w:val="24"/>
        </w:rPr>
        <w:t xml:space="preserve">The Random Forest ROC curve (AUC = 0.9934) hugs the top-left corner, while the Logistic Regression curve (AUC = 0.9295) lies clearly below it; both are far above the random-chance diagonal (AUC = 0.5). In the Precision–Recall plot, the Random Forest maintains precision close to 1.0 up to a recall of roughly 0.9, whereas the Logistic Regression precision starts to fall at much lower recall. The gap between the models shows that non-linear interactions between features carry substantial predictive information beyond a linear model.</w:t>
      </w:r>
    </w:p>
    <w:p>
      <w:pPr>
        <w:spacing w:after="140" w:line="300"/>
        <w:jc w:val="both"/>
      </w:pPr>
      <w:r>
        <w:rPr>
          <w:rFonts w:ascii="Times New Roman" w:cs="Times New Roman" w:eastAsia="Times New Roman" w:hAnsi="Times New Roman"/>
          <w:b/>
          <w:bCs/>
          <w:sz w:val="24"/>
          <w:szCs w:val="24"/>
        </w:rPr>
        <w:t xml:space="preserve">Champion model.</w:t>
      </w:r>
      <w:r>
        <w:rPr>
          <w:rFonts w:ascii="Times New Roman" w:cs="Times New Roman" w:eastAsia="Times New Roman" w:hAnsi="Times New Roman"/>
          <w:sz w:val="24"/>
          <w:szCs w:val="24"/>
        </w:rPr>
        <w:t xml:space="preserve"> Random Forest was selected as the champion model and used for driver analysis and the Streamlit risk simulator.</w:t>
      </w:r>
    </w:p>
    <w:p>
      <w:pPr>
        <w:pStyle w:val="Heading1"/>
        <w:pageBreakBefore/>
      </w:pPr>
      <w:r>
        <w:t xml:space="preserve">7. Feature Importance / Driver Analysis</w:t>
      </w:r>
    </w:p>
    <w:p>
      <w:pPr>
        <w:keepNext/>
        <w:spacing w:after="80" w:before="160"/>
        <w:jc w:val="center"/>
      </w:pPr>
      <w:r>
        <w:drawing>
          <wp:inline distT="0" distB="0" distL="0" distR="0">
            <wp:extent cx="5305425" cy="3371850"/>
            <wp:effectExtent t="0" r="0" b="0" l="0"/>
            <wp:docPr id="1" name="9_feature_importances.png" descr="Top 15 predictor importances from the Random Forest (MDI / Gini)."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3371850"/>
                    </a:xfrm>
                    <a:prstGeom prst="rect">
                      <a:avLst/>
                    </a:prstGeom>
                  </pic:spPr>
                </pic:pic>
              </a:graphicData>
            </a:graphic>
          </wp:inline>
        </w:drawing>
      </w:r>
    </w:p>
    <w:p>
      <w:pPr>
        <w:spacing w:after="200"/>
        <w:jc w:val="center"/>
      </w:pPr>
      <w:r>
        <w:rPr>
          <w:rFonts w:ascii="Calibri" w:cs="Calibri" w:eastAsia="Calibri" w:hAnsi="Calibri"/>
          <w:b/>
          <w:bCs/>
          <w:color w:val="1F3864"/>
          <w:sz w:val="20"/>
          <w:szCs w:val="20"/>
        </w:rPr>
        <w:t xml:space="preserve">Figure 9: </w:t>
      </w:r>
      <w:r>
        <w:rPr>
          <w:rFonts w:ascii="Calibri" w:cs="Calibri" w:eastAsia="Calibri" w:hAnsi="Calibri"/>
          <w:i/>
          <w:iCs/>
          <w:color w:val="595959"/>
          <w:sz w:val="20"/>
          <w:szCs w:val="20"/>
        </w:rPr>
        <w:t xml:space="preserve">Top 15 predictor importances from the Random Forest (MDI / Gini).</w:t>
      </w:r>
    </w:p>
    <w:p>
      <w:pPr>
        <w:keepNext/>
        <w:spacing w:after="80" w:before="160"/>
        <w:jc w:val="center"/>
      </w:pPr>
      <w:r>
        <w:rPr>
          <w:rFonts w:ascii="Calibri" w:cs="Calibri" w:eastAsia="Calibri" w:hAnsi="Calibri"/>
          <w:b/>
          <w:bCs/>
          <w:color w:val="1F3864"/>
          <w:sz w:val="20"/>
          <w:szCs w:val="20"/>
        </w:rPr>
        <w:t xml:space="preserve">Table 12: </w:t>
      </w:r>
      <w:r>
        <w:rPr>
          <w:rFonts w:ascii="Calibri" w:cs="Calibri" w:eastAsia="Calibri" w:hAnsi="Calibri"/>
          <w:i/>
          <w:iCs/>
          <w:color w:val="595959"/>
          <w:sz w:val="20"/>
          <w:szCs w:val="20"/>
        </w:rPr>
        <w:t xml:space="preserve">Top 15 Random Forest feature importances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250"/>
        <w:gridCol w:w="700"/>
        <w:gridCol w:w="2600"/>
        <w:gridCol w:w="1376"/>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Rank</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Predictor</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Importance</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Rank</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Predictor</w:t>
            </w:r>
          </w:p>
        </w:tc>
        <w:tc>
          <w:tcPr>
            <w:tcW w:type="dxa" w:w="13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center"/>
            </w:pPr>
            <w:r>
              <w:rPr>
                <w:rFonts w:ascii="Calibri" w:cs="Calibri" w:eastAsia="Calibri" w:hAnsi="Calibri"/>
                <w:b/>
                <w:bCs/>
                <w:color w:val="FFFFFF"/>
                <w:sz w:val="20"/>
                <w:szCs w:val="20"/>
              </w:rPr>
              <w:t xml:space="preserve">Importance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Online Boarding</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18.11%</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9</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Leg Room Service</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3.80%</w:t>
            </w:r>
          </w:p>
        </w:tc>
      </w:tr>
      <w:tr>
        <w:trPr>
          <w:cantSplit/>
        </w:trPr>
        <w:tc>
          <w:tcPr>
            <w:tcW w:type="dxa" w:w="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2</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In-flight Wifi Service</w:t>
            </w:r>
          </w:p>
        </w:tc>
        <w:tc>
          <w:tcPr>
            <w:tcW w:type="dxa" w:w="12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14.60%</w:t>
            </w:r>
          </w:p>
        </w:tc>
        <w:tc>
          <w:tcPr>
            <w:tcW w:type="dxa" w:w="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10</w:t>
            </w:r>
          </w:p>
        </w:tc>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Flight Distance</w:t>
            </w:r>
          </w:p>
        </w:tc>
        <w:tc>
          <w:tcPr>
            <w:tcW w:type="dxa" w:w="137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2.81%</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Type of Travel – Personal</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12.91%</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On-board Service</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2.70%</w:t>
            </w:r>
          </w:p>
        </w:tc>
      </w:tr>
      <w:tr>
        <w:trPr>
          <w:cantSplit/>
        </w:trPr>
        <w:tc>
          <w:tcPr>
            <w:tcW w:type="dxa" w:w="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4</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Class – Economy</w:t>
            </w:r>
          </w:p>
        </w:tc>
        <w:tc>
          <w:tcPr>
            <w:tcW w:type="dxa" w:w="12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7.61%</w:t>
            </w:r>
          </w:p>
        </w:tc>
        <w:tc>
          <w:tcPr>
            <w:tcW w:type="dxa" w:w="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12</w:t>
            </w:r>
          </w:p>
        </w:tc>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Cleanliness</w:t>
            </w:r>
          </w:p>
        </w:tc>
        <w:tc>
          <w:tcPr>
            <w:tcW w:type="dxa" w:w="137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2.69%</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In-flight Entertainment</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6.49%</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Age</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2.53%</w:t>
            </w:r>
          </w:p>
        </w:tc>
      </w:tr>
      <w:tr>
        <w:trPr>
          <w:cantSplit/>
        </w:trPr>
        <w:tc>
          <w:tcPr>
            <w:tcW w:type="dxa" w:w="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6</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Seat Comfort</w:t>
            </w:r>
          </w:p>
        </w:tc>
        <w:tc>
          <w:tcPr>
            <w:tcW w:type="dxa" w:w="12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4.89%</w:t>
            </w:r>
          </w:p>
        </w:tc>
        <w:tc>
          <w:tcPr>
            <w:tcW w:type="dxa" w:w="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14</w:t>
            </w:r>
          </w:p>
        </w:tc>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Baggage Handling</w:t>
            </w:r>
          </w:p>
        </w:tc>
        <w:tc>
          <w:tcPr>
            <w:tcW w:type="dxa" w:w="137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2.34%</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Customer Type – Returning</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4.38%</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15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In-flight Service</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center"/>
            </w:pPr>
            <w:r>
              <w:rPr>
                <w:rFonts w:ascii="Calibri" w:cs="Calibri" w:eastAsia="Calibri" w:hAnsi="Calibri"/>
                <w:b w:val="false"/>
                <w:bCs w:val="false"/>
                <w:sz w:val="20"/>
                <w:szCs w:val="20"/>
              </w:rPr>
              <w:t xml:space="preserve">2.19%</w:t>
            </w:r>
          </w:p>
        </w:tc>
      </w:tr>
      <w:tr>
        <w:trPr>
          <w:cantSplit/>
        </w:trPr>
        <w:tc>
          <w:tcPr>
            <w:tcW w:type="dxa" w:w="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left"/>
            </w:pPr>
            <w:r>
              <w:rPr>
                <w:rFonts w:ascii="Calibri" w:cs="Calibri" w:eastAsia="Calibri" w:hAnsi="Calibri"/>
                <w:b w:val="false"/>
                <w:bCs w:val="false"/>
                <w:sz w:val="20"/>
                <w:szCs w:val="20"/>
              </w:rPr>
              <w:t xml:space="preserve">8</w:t>
            </w:r>
          </w:p>
        </w:tc>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Ease of Online Booking</w:t>
            </w:r>
          </w:p>
        </w:tc>
        <w:tc>
          <w:tcPr>
            <w:tcW w:type="dxa" w:w="12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4.02%</w:t>
            </w:r>
          </w:p>
        </w:tc>
        <w:tc>
          <w:tcPr>
            <w:tcW w:type="dxa" w:w="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
            </w:r>
          </w:p>
        </w:tc>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
            </w:r>
          </w:p>
        </w:tc>
        <w:tc>
          <w:tcPr>
            <w:tcW w:type="dxa" w:w="137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center"/>
            </w:pPr>
            <w:r>
              <w:rPr>
                <w:rFonts w:ascii="Calibri" w:cs="Calibri" w:eastAsia="Calibri" w:hAnsi="Calibri"/>
                <w:b w:val="false"/>
                <w:bCs w:val="false"/>
                <w:sz w:val="20"/>
                <w:szCs w:val="20"/>
              </w:rPr>
              <w:t xml:space="preserve"/>
            </w:r>
          </w:p>
        </w:tc>
      </w:tr>
    </w:tbl>
    <w:p>
      <w:pPr>
        <w:spacing w:after="200"/>
      </w:pPr>
    </w:p>
    <w:p>
      <w:pPr>
        <w:pStyle w:val="Heading2"/>
      </w:pPr>
      <w:r>
        <w:t xml:space="preserve">7.1 Interpretation of the Driver Hierarchy</w:t>
      </w:r>
    </w:p>
    <w:p>
      <w:pPr>
        <w:pStyle w:val="ListParagraph"/>
        <w:numPr>
          <w:ilvl w:val="0"/>
          <w:numId w:val="6"/>
        </w:numPr>
        <w:spacing w:after="80" w:line="290"/>
      </w:pPr>
      <w:r>
        <w:rPr>
          <w:rFonts w:ascii="Times New Roman" w:cs="Times New Roman" w:eastAsia="Times New Roman" w:hAnsi="Times New Roman"/>
          <w:b/>
          <w:bCs/>
          <w:sz w:val="24"/>
          <w:szCs w:val="24"/>
        </w:rPr>
        <w:t xml:space="preserve">Online Boarding (18.11%)</w:t>
      </w:r>
      <w:r>
        <w:rPr>
          <w:rFonts w:ascii="Times New Roman" w:cs="Times New Roman" w:eastAsia="Times New Roman" w:hAnsi="Times New Roman"/>
          <w:sz w:val="24"/>
          <w:szCs w:val="24"/>
        </w:rPr>
        <w:t xml:space="preserve"> is the single most important predictor. Friction in mobile check-in, seat assignment or gate boarding appears to shape sentiment early in the journey; satisfaction is only 11.45%–13.78% at ratings 1–3 versus 87.06% at rating 5.</w:t>
      </w:r>
    </w:p>
    <w:p>
      <w:pPr>
        <w:pStyle w:val="ListParagraph"/>
        <w:numPr>
          <w:ilvl w:val="0"/>
          <w:numId w:val="6"/>
        </w:numPr>
        <w:spacing w:after="80" w:line="290"/>
      </w:pPr>
      <w:r>
        <w:rPr>
          <w:rFonts w:ascii="Times New Roman" w:cs="Times New Roman" w:eastAsia="Times New Roman" w:hAnsi="Times New Roman"/>
          <w:b/>
          <w:bCs/>
          <w:sz w:val="24"/>
          <w:szCs w:val="24"/>
        </w:rPr>
        <w:t xml:space="preserve">In-flight Wifi Service (14.60%)</w:t>
      </w:r>
      <w:r>
        <w:rPr>
          <w:rFonts w:ascii="Times New Roman" w:cs="Times New Roman" w:eastAsia="Times New Roman" w:hAnsi="Times New Roman"/>
          <w:sz w:val="24"/>
          <w:szCs w:val="24"/>
        </w:rPr>
        <w:t xml:space="preserve"> is the second strongest predictor and the strongest in-flight differentiator: satisfaction is 24.72%–32.82% at ratings 1–3 and 99.02% at rating 5. Weak Wifi ratings severely penalise satisfaction even when physical comfort is acceptable.</w:t>
      </w:r>
    </w:p>
    <w:p>
      <w:pPr>
        <w:pStyle w:val="ListParagraph"/>
        <w:numPr>
          <w:ilvl w:val="0"/>
          <w:numId w:val="6"/>
        </w:numPr>
        <w:spacing w:after="80" w:line="290"/>
      </w:pPr>
      <w:r>
        <w:rPr>
          <w:rFonts w:ascii="Times New Roman" w:cs="Times New Roman" w:eastAsia="Times New Roman" w:hAnsi="Times New Roman"/>
          <w:b/>
          <w:bCs/>
          <w:sz w:val="24"/>
          <w:szCs w:val="24"/>
        </w:rPr>
        <w:t xml:space="preserve">Type of Travel – Personal (12.91%) and Class – Economy (7.61%)</w:t>
      </w:r>
      <w:r>
        <w:rPr>
          <w:rFonts w:ascii="Times New Roman" w:cs="Times New Roman" w:eastAsia="Times New Roman" w:hAnsi="Times New Roman"/>
          <w:sz w:val="24"/>
          <w:szCs w:val="24"/>
        </w:rPr>
        <w:t xml:space="preserve"> are the most influential passenger-profile variables. The notebook notes that leisure and Economy travellers face the lowest baseline satisfaction; Economy passengers are 18.77% satisfied, and returning Personal travellers only 10.10%.</w:t>
      </w:r>
    </w:p>
    <w:p>
      <w:pPr>
        <w:pStyle w:val="ListParagraph"/>
        <w:numPr>
          <w:ilvl w:val="0"/>
          <w:numId w:val="6"/>
        </w:numPr>
        <w:spacing w:after="80" w:line="290"/>
      </w:pPr>
      <w:r>
        <w:rPr>
          <w:rFonts w:ascii="Times New Roman" w:cs="Times New Roman" w:eastAsia="Times New Roman" w:hAnsi="Times New Roman"/>
          <w:b/>
          <w:bCs/>
          <w:sz w:val="24"/>
          <w:szCs w:val="24"/>
        </w:rPr>
        <w:t xml:space="preserve">In-flight Entertainment (6.49%) and Seat Comfort (4.89%)</w:t>
      </w:r>
      <w:r>
        <w:rPr>
          <w:rFonts w:ascii="Times New Roman" w:cs="Times New Roman" w:eastAsia="Times New Roman" w:hAnsi="Times New Roman"/>
          <w:sz w:val="24"/>
          <w:szCs w:val="24"/>
        </w:rPr>
        <w:t xml:space="preserve"> are the main physical and entertainment factors, followed by Customer Type – Returning (4.38%), Ease of Online Booking (4.02%) and Leg Room Service (3.80%).</w:t>
      </w:r>
    </w:p>
    <w:p>
      <w:pPr>
        <w:pStyle w:val="ListParagraph"/>
        <w:numPr>
          <w:ilvl w:val="0"/>
          <w:numId w:val="6"/>
        </w:numPr>
        <w:spacing w:after="80" w:line="290"/>
      </w:pPr>
      <w:r>
        <w:rPr>
          <w:rFonts w:ascii="Times New Roman" w:cs="Times New Roman" w:eastAsia="Times New Roman" w:hAnsi="Times New Roman"/>
          <w:b/>
          <w:bCs/>
          <w:sz w:val="24"/>
          <w:szCs w:val="24"/>
        </w:rPr>
        <w:t xml:space="preserve">Operational and demographic variables</w:t>
      </w:r>
      <w:r>
        <w:rPr>
          <w:rFonts w:ascii="Times New Roman" w:cs="Times New Roman" w:eastAsia="Times New Roman" w:hAnsi="Times New Roman"/>
          <w:sz w:val="24"/>
          <w:szCs w:val="24"/>
        </w:rPr>
        <w:t xml:space="preserve"> such as Flight Distance (2.81%) and Age (2.53%) contribute less individually; Departure and Arrival Delay do not appear among the top 15 predictors, which is consistent with the modest delay effect seen in Section 4.5.</w:t>
      </w:r>
    </w:p>
    <w:p>
      <w:pPr>
        <w:spacing w:after="140" w:line="300"/>
        <w:jc w:val="both"/>
      </w:pPr>
      <w:r>
        <w:rPr>
          <w:rFonts w:ascii="Times New Roman" w:cs="Times New Roman" w:eastAsia="Times New Roman" w:hAnsi="Times New Roman"/>
          <w:sz w:val="24"/>
          <w:szCs w:val="24"/>
        </w:rPr>
        <w:t xml:space="preserve">Importance values indicate how much each variable contributes to the model’s predictions, not the direction or causal size of its effect. Direction is better read from the EDA: higher online-boarding, Wifi and entertainment ratings, Business class and Business travel all coincide with higher satisfaction.</w:t>
      </w:r>
    </w:p>
    <w:p>
      <w:pPr>
        <w:pStyle w:val="Heading1"/>
        <w:pageBreakBefore/>
      </w:pPr>
      <w:r>
        <w:t xml:space="preserve">8. Business Recommendations</w:t>
      </w:r>
    </w:p>
    <w:p>
      <w:pPr>
        <w:spacing w:after="140" w:line="300"/>
        <w:jc w:val="both"/>
      </w:pPr>
      <w:r>
        <w:rPr>
          <w:rFonts w:ascii="Times New Roman" w:cs="Times New Roman" w:eastAsia="Times New Roman" w:hAnsi="Times New Roman"/>
          <w:sz w:val="24"/>
          <w:szCs w:val="24"/>
        </w:rPr>
        <w:t xml:space="preserve">The recommendations below follow from the driver ranking and EDA findings, in priority order.</w:t>
      </w:r>
    </w:p>
    <w:p>
      <w:pPr>
        <w:keepNext/>
        <w:spacing w:after="80" w:before="160"/>
        <w:jc w:val="center"/>
      </w:pPr>
      <w:r>
        <w:rPr>
          <w:rFonts w:ascii="Calibri" w:cs="Calibri" w:eastAsia="Calibri" w:hAnsi="Calibri"/>
          <w:b/>
          <w:bCs/>
          <w:color w:val="1F3864"/>
          <w:sz w:val="20"/>
          <w:szCs w:val="20"/>
        </w:rPr>
        <w:t xml:space="preserve">Table 13: </w:t>
      </w:r>
      <w:r>
        <w:rPr>
          <w:rFonts w:ascii="Calibri" w:cs="Calibri" w:eastAsia="Calibri" w:hAnsi="Calibri"/>
          <w:i/>
          <w:iCs/>
          <w:color w:val="595959"/>
          <w:sz w:val="20"/>
          <w:szCs w:val="20"/>
        </w:rPr>
        <w:t xml:space="preserve">Prioritised recommendations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126"/>
        <w:gridCol w:w="300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Priority</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Recommendation</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Evidence from the project</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jc w:val="left"/>
            </w:pPr>
            <w:r>
              <w:rPr>
                <w:rFonts w:ascii="Calibri" w:cs="Calibri" w:eastAsia="Calibri" w:hAnsi="Calibri"/>
                <w:b/>
                <w:bCs/>
                <w:color w:val="FFFFFF"/>
                <w:sz w:val="20"/>
                <w:szCs w:val="20"/>
              </w:rPr>
              <w:t xml:space="preserve">Proposed action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Digital gate &amp; boarding modernisation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Online Boarding is the #1 driver (18.11%); satisfaction 11.45%–13.78% at ratings 1–3 vs 87.06% at rating 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Overhaul mobile-app boarding flows, automated wallet/boarding-pass generation, automated seat reallocation and biometric fast-track boarding at hub gates</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2</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Tiered in-flight connectivity</w:t>
            </w:r>
          </w:p>
        </w:tc>
        <w:tc>
          <w:tcPr>
            <w:tcW w:type="dxa" w:w="3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Wifi is the #2 driver (14.60%); 67.18%–75.28% of passengers rating Wifi 1–3 are dissatisfied; 99.02% satisfied at rating 5</w:t>
            </w:r>
          </w:p>
        </w:tc>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Free baseline messaging (e.g. WhatsApp, iMessage) for all passengers; high-speed streaming/browsing packages for loyalty members and business travellers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bCs/>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Economy cabin ergonomics &amp; comfort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Economy: 81.23% dissatisfied; Economy class (7.61%), Seat Comfort (4.89%) and Leg Room (3.80%) are among the top drivers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jc w:val="left"/>
            </w:pPr>
            <w:r>
              <w:rPr>
                <w:rFonts w:ascii="Calibri" w:cs="Calibri" w:eastAsia="Calibri" w:hAnsi="Calibri"/>
                <w:b w:val="false"/>
                <w:bCs w:val="false"/>
                <w:sz w:val="20"/>
                <w:szCs w:val="20"/>
              </w:rPr>
              <w:t xml:space="preserve">Optimise ergonomic seat padding, quick-turn cabin cleanliness, and bundle entertainment access with personal devices</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left"/>
            </w:pPr>
            <w:r>
              <w:rPr>
                <w:rFonts w:ascii="Calibri" w:cs="Calibri" w:eastAsia="Calibri" w:hAnsi="Calibri"/>
                <w:b/>
                <w:bCs/>
                <w:sz w:val="20"/>
                <w:szCs w:val="20"/>
              </w:rPr>
              <w:t xml:space="preserve">4</w:t>
            </w:r>
          </w:p>
        </w:tc>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left"/>
            </w:pPr>
            <w:r>
              <w:rPr>
                <w:rFonts w:ascii="Calibri" w:cs="Calibri" w:eastAsia="Calibri" w:hAnsi="Calibri"/>
                <w:b w:val="false"/>
                <w:bCs w:val="false"/>
                <w:sz w:val="20"/>
                <w:szCs w:val="20"/>
              </w:rPr>
              <w:t xml:space="preserve">Automated service recovery</w:t>
            </w:r>
          </w:p>
        </w:tc>
        <w:tc>
          <w:tcPr>
            <w:tcW w:type="dxa" w:w="3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left"/>
            </w:pPr>
            <w:r>
              <w:rPr>
                <w:rFonts w:ascii="Calibri" w:cs="Calibri" w:eastAsia="Calibri" w:hAnsi="Calibri"/>
                <w:b w:val="false"/>
                <w:bCs w:val="false"/>
                <w:sz w:val="20"/>
                <w:szCs w:val="20"/>
              </w:rPr>
              <w:t xml:space="preserve">Random Forest: 0.9934 ROC-AUC; dissatisfaction 62.50%–64.15% for delays above 15 minutes</w:t>
            </w:r>
          </w:p>
        </w:tc>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jc w:val="left"/>
            </w:pPr>
            <w:r>
              <w:rPr>
                <w:rFonts w:ascii="Calibri" w:cs="Calibri" w:eastAsia="Calibri" w:hAnsi="Calibri"/>
                <w:b w:val="false"/>
                <w:bCs w:val="false"/>
                <w:sz w:val="20"/>
                <w:szCs w:val="20"/>
              </w:rPr>
              <w:t xml:space="preserve">Deploy the model at check-in and landing and apply the decision rule below</w:t>
            </w:r>
          </w:p>
        </w:tc>
      </w:tr>
    </w:tbl>
    <w:p>
      <w:pPr>
        <w:spacing w:after="200"/>
      </w:pPr>
    </w:p>
    <w:p>
      <w:pPr>
        <w:pStyle w:val="Heading2"/>
      </w:pPr>
      <w:r>
        <w:t xml:space="preserve">Decision rule for service recovery</w:t>
      </w:r>
    </w:p>
    <w:p>
      <w:pPr>
        <w:spacing w:after="140" w:line="300"/>
        <w:jc w:val="both"/>
      </w:pPr>
      <w:r>
        <w:rPr>
          <w:rFonts w:ascii="Times New Roman" w:cs="Times New Roman" w:eastAsia="Times New Roman" w:hAnsi="Times New Roman"/>
          <w:sz w:val="24"/>
          <w:szCs w:val="24"/>
        </w:rPr>
        <w:t xml:space="preserve">If a passenger has a </w:t>
      </w:r>
      <w:r>
        <w:rPr>
          <w:rFonts w:ascii="Times New Roman" w:cs="Times New Roman" w:eastAsia="Times New Roman" w:hAnsi="Times New Roman"/>
          <w:b/>
          <w:bCs/>
          <w:sz w:val="24"/>
          <w:szCs w:val="24"/>
        </w:rPr>
        <w:t xml:space="preserve">predicted dissatisfaction risk above 60%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or</w:t>
      </w:r>
      <w:r>
        <w:rPr>
          <w:rFonts w:ascii="Times New Roman" w:cs="Times New Roman" w:eastAsia="Times New Roman" w:hAnsi="Times New Roman"/>
          <w:sz w:val="24"/>
          <w:szCs w:val="24"/>
        </w:rPr>
        <w:t xml:space="preserve"> experiences a </w:t>
      </w:r>
      <w:r>
        <w:rPr>
          <w:rFonts w:ascii="Times New Roman" w:cs="Times New Roman" w:eastAsia="Times New Roman" w:hAnsi="Times New Roman"/>
          <w:b/>
          <w:bCs/>
          <w:sz w:val="24"/>
          <w:szCs w:val="24"/>
        </w:rPr>
        <w:t xml:space="preserve">departure delay above 30 minutes combined with a Wifi/boarding rating of 2 or lower</w:t>
      </w:r>
      <w:r>
        <w:rPr>
          <w:rFonts w:ascii="Times New Roman" w:cs="Times New Roman" w:eastAsia="Times New Roman" w:hAnsi="Times New Roman"/>
          <w:sz w:val="24"/>
          <w:szCs w:val="24"/>
        </w:rPr>
        <w:t xml:space="preserve">, the airline’s CRM automatically triggers an immediate mobile compensation gesture, such as a lounge pass, 1,000 bonus loyalty miles or a meal voucher. The Streamlit “Real-Time Risk Simulator” module demonstrates how a passenger profile is scored.</w:t>
      </w:r>
    </w:p>
    <w:p>
      <w:pPr>
        <w:pStyle w:val="Heading2"/>
      </w:pPr>
      <w:r>
        <w:t xml:space="preserve">Additional targeting insights</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First-time Business travellers</w:t>
      </w:r>
      <w:r>
        <w:rPr>
          <w:rFonts w:ascii="Times New Roman" w:cs="Times New Roman" w:eastAsia="Times New Roman" w:hAnsi="Times New Roman"/>
          <w:sz w:val="24"/>
          <w:szCs w:val="24"/>
        </w:rPr>
        <w:t xml:space="preserve"> are satisfied at only 24.04% versus 70.62% for returning Business travellers, so the first-trip experience deserves attention. Returning Personal travellers (10.10%) are the least satisfied segment.</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Young adults (18–32) and passengers aged 61 and over</w:t>
      </w:r>
      <w:r>
        <w:rPr>
          <w:rFonts w:ascii="Times New Roman" w:cs="Times New Roman" w:eastAsia="Times New Roman" w:hAnsi="Times New Roman"/>
          <w:sz w:val="24"/>
          <w:szCs w:val="24"/>
        </w:rPr>
        <w:t xml:space="preserve"> show lower satisfaction (35.95% and 20.82%) than passengers aged 40–60 (57.63%), suggesting segment-specific service design.</w:t>
      </w:r>
    </w:p>
    <w:p>
      <w:pPr>
        <w:pStyle w:val="ListParagraph"/>
        <w:numPr>
          <w:ilvl w:val="0"/>
          <w:numId w:val="2"/>
        </w:numPr>
        <w:spacing w:after="80" w:line="290"/>
        <w:jc w:val="left"/>
      </w:pPr>
      <w:r>
        <w:rPr>
          <w:rFonts w:ascii="Times New Roman" w:cs="Times New Roman" w:eastAsia="Times New Roman" w:hAnsi="Times New Roman"/>
          <w:sz w:val="24"/>
          <w:szCs w:val="24"/>
        </w:rPr>
        <w:t xml:space="preserve">These recommendations are hypotheses from observational data; pilot them through </w:t>
      </w:r>
      <w:r>
        <w:rPr>
          <w:rFonts w:ascii="Times New Roman" w:cs="Times New Roman" w:eastAsia="Times New Roman" w:hAnsi="Times New Roman"/>
          <w:b/>
          <w:bCs/>
          <w:sz w:val="24"/>
          <w:szCs w:val="24"/>
        </w:rPr>
        <w:t xml:space="preserve">A/B tests</w:t>
      </w:r>
      <w:r>
        <w:rPr>
          <w:rFonts w:ascii="Times New Roman" w:cs="Times New Roman" w:eastAsia="Times New Roman" w:hAnsi="Times New Roman"/>
          <w:sz w:val="24"/>
          <w:szCs w:val="24"/>
        </w:rPr>
        <w:t xml:space="preserve"> before fleet-wide rollout, and retrain the model periodically (the project suggests quarterly) to detect drift in passenger preferences.</w:t>
      </w:r>
    </w:p>
    <w:p>
      <w:pPr>
        <w:pStyle w:val="Heading1"/>
        <w:pageBreakBefore/>
      </w:pPr>
      <w:r>
        <w:t xml:space="preserve">9. Limitations</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Correlation, not causation:</w:t>
      </w:r>
      <w:r>
        <w:rPr>
          <w:rFonts w:ascii="Times New Roman" w:cs="Times New Roman" w:eastAsia="Times New Roman" w:hAnsi="Times New Roman"/>
          <w:sz w:val="24"/>
          <w:szCs w:val="24"/>
        </w:rPr>
        <w:t xml:space="preserve"> the data are observational survey responses; the drivers identified are statistical associations, and interventions should be validated experimentally.</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Single dataset and split:</w:t>
      </w:r>
      <w:r>
        <w:rPr>
          <w:rFonts w:ascii="Times New Roman" w:cs="Times New Roman" w:eastAsia="Times New Roman" w:hAnsi="Times New Roman"/>
          <w:sz w:val="24"/>
          <w:szCs w:val="24"/>
        </w:rPr>
        <w:t xml:space="preserve"> results come from one public survey dataset and one 80/20 stratified split (random_state = 42). The notebook does not report cross-validation or hyperparameter search, so the stability of the 96.09% accuracy across other splits or airlines is not established. The dataset documentation does not state the airline or survey period.</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Ratings and satisfaction share the same survey:</w:t>
      </w:r>
      <w:r>
        <w:rPr>
          <w:rFonts w:ascii="Times New Roman" w:cs="Times New Roman" w:eastAsia="Times New Roman" w:hAnsi="Times New Roman"/>
          <w:sz w:val="24"/>
          <w:szCs w:val="24"/>
        </w:rPr>
        <w:t xml:space="preserve"> the model uses post-flight ratings, which are collected together with the target. It therefore classifies satisfaction from already-reported experience rather than forecasting it before the flight; using it “at check-in” as proposed would require ratings or proxies that are available at that time.</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Importance measure:</w:t>
      </w:r>
      <w:r>
        <w:rPr>
          <w:rFonts w:ascii="Times New Roman" w:cs="Times New Roman" w:eastAsia="Times New Roman" w:hAnsi="Times New Roman"/>
          <w:sz w:val="24"/>
          <w:szCs w:val="24"/>
        </w:rPr>
        <w:t xml:space="preserve"> Random Forest MDI importance shows the contribution to prediction, not the direction or size of an effect, and it can be shared between correlated variables (for example Personal travel and Economy class). One-hot categories are also reported separately.</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Small segment:</w:t>
      </w:r>
      <w:r>
        <w:rPr>
          <w:rFonts w:ascii="Times New Roman" w:cs="Times New Roman" w:eastAsia="Times New Roman" w:hAnsi="Times New Roman"/>
          <w:sz w:val="24"/>
          <w:szCs w:val="24"/>
        </w:rPr>
        <w:t xml:space="preserve"> the Personal × First-time cohort has only 201 passengers, so its 15.92% satisfaction rate is less reliable than the rates for the other three travel-purpose × customer-type segments.</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Zero-coded ratings:</w:t>
      </w:r>
      <w:r>
        <w:rPr>
          <w:rFonts w:ascii="Times New Roman" w:cs="Times New Roman" w:eastAsia="Times New Roman" w:hAnsi="Times New Roman"/>
          <w:sz w:val="24"/>
          <w:szCs w:val="24"/>
        </w:rPr>
        <w:t xml:space="preserve"> “not applicable” responses (0) were retained as numeric values in the models rather than recoded as missing; alternative treatments were not compared. Because 3,906 of the 3,916 passengers with a Wifi rating of 0 are satisfied, this level is highly informative for the model in its own right.</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Untuned thresholds:</w:t>
      </w:r>
      <w:r>
        <w:rPr>
          <w:rFonts w:ascii="Times New Roman" w:cs="Times New Roman" w:eastAsia="Times New Roman" w:hAnsi="Times New Roman"/>
          <w:sz w:val="24"/>
          <w:szCs w:val="24"/>
        </w:rPr>
        <w:t xml:space="preserve"> the decision rule (risk above 60%, delay above 30 minutes, rating of 2 or lower) is a proposed operating policy; the notebook does not optimise these cut-offs or quantify their financial return.</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Class imbalance and error costs:</w:t>
      </w:r>
      <w:r>
        <w:rPr>
          <w:rFonts w:ascii="Times New Roman" w:cs="Times New Roman" w:eastAsia="Times New Roman" w:hAnsi="Times New Roman"/>
          <w:sz w:val="24"/>
          <w:szCs w:val="24"/>
        </w:rPr>
        <w:t xml:space="preserve"> the 56.55%/43.45% split is moderate, and the higher cost of false positives is a business assumption; the notebook uses the default classification threshold.</w:t>
      </w:r>
    </w:p>
    <w:p>
      <w:pPr>
        <w:pStyle w:val="ListParagraph"/>
        <w:numPr>
          <w:ilvl w:val="0"/>
          <w:numId w:val="2"/>
        </w:numPr>
        <w:spacing w:after="80" w:line="290"/>
        <w:jc w:val="left"/>
      </w:pPr>
      <w:r>
        <w:rPr>
          <w:rFonts w:ascii="Times New Roman" w:cs="Times New Roman" w:eastAsia="Times New Roman" w:hAnsi="Times New Roman"/>
          <w:b/>
          <w:bCs/>
          <w:sz w:val="24"/>
          <w:szCs w:val="24"/>
        </w:rPr>
        <w:t xml:space="preserve">Deployment scope:</w:t>
      </w:r>
      <w:r>
        <w:rPr>
          <w:rFonts w:ascii="Times New Roman" w:cs="Times New Roman" w:eastAsia="Times New Roman" w:hAnsi="Times New Roman"/>
          <w:sz w:val="24"/>
          <w:szCs w:val="24"/>
        </w:rPr>
        <w:t xml:space="preserve"> the Streamlit dashboard is a demonstration; live data integration, monitoring and fairness review were not part of the project.</w:t>
      </w:r>
    </w:p>
    <w:p>
      <w:pPr>
        <w:pStyle w:val="Heading1"/>
        <w:pageBreakBefore/>
      </w:pPr>
      <w:r>
        <w:t xml:space="preserve">10. Conclusion</w:t>
      </w:r>
    </w:p>
    <w:p>
      <w:pPr>
        <w:spacing w:after="140" w:line="300"/>
        <w:jc w:val="both"/>
      </w:pPr>
      <w:r>
        <w:rPr>
          <w:rFonts w:ascii="Times New Roman" w:cs="Times New Roman" w:eastAsia="Times New Roman" w:hAnsi="Times New Roman"/>
          <w:sz w:val="24"/>
          <w:szCs w:val="24"/>
        </w:rPr>
        <w:t xml:space="preserve">This project analysed 129,880 airline passenger survey records to understand and predict satisfaction. Only 43.45% (56,428) of passengers are satisfied, and satisfaction varies sharply by cabin class and travel purpose: Business-class passengers are satisfied at 69.44% versus 18.77% in Economy, and returning Business travellers (70.62%) are far more satisfied than returning Personal travellers (10.10%). Satisfaction rises steeply only when service ratings reach 4 or 5 – Online Boarding from 13.76% at rating 3 to 62.30% at rating 4, and In-flight Wifi from 25.18% to 60.08% – while departure delays are associated with a moderate increase in dissatisfaction (from 54.06% on time to 64.15% for 61–180 minute delays, then a plateau).</w:t>
      </w:r>
    </w:p>
    <w:p>
      <w:pPr>
        <w:spacing w:after="140" w:line="300"/>
        <w:jc w:val="both"/>
      </w:pPr>
      <w:r>
        <w:rPr>
          <w:rFonts w:ascii="Times New Roman" w:cs="Times New Roman" w:eastAsia="Times New Roman" w:hAnsi="Times New Roman"/>
          <w:sz w:val="24"/>
          <w:szCs w:val="24"/>
        </w:rPr>
        <w:t xml:space="preserve">A leakage-free pipeline and a Random Forest classifier delivered 96.09% accuracy, 96.61% precision, 94.30% recall, a 95.44% F1-score and a 0.9934 ROC-AUC on 25,976 unseen passengers, substantially outperforming the Logistic Regression baseline (87.71% accuracy, 0.9295 ROC-AUC). The driver analysis ranks Online Boarding, In-flight Wifi, Personal travel, Economy class, In-flight Entertainment and Seat Comfort as the most influential predictors.</w:t>
      </w:r>
    </w:p>
    <w:p>
      <w:pPr>
        <w:spacing w:after="140" w:line="300"/>
        <w:jc w:val="both"/>
      </w:pPr>
      <w:r>
        <w:rPr>
          <w:rFonts w:ascii="Times New Roman" w:cs="Times New Roman" w:eastAsia="Times New Roman" w:hAnsi="Times New Roman"/>
          <w:sz w:val="24"/>
          <w:szCs w:val="24"/>
        </w:rPr>
        <w:t xml:space="preserve">These results support four actions: modernise digital boarding, improve in-flight connectivity, enhance Economy-cabin comfort and introduce automated, model-driven service recovery. Together with the notebook, saved models and Streamlit dashboard, the project provides a reproducible analytical foundation that airline teams can validate through A/B testing and extend with cross-validation, threshold tuning and additional data.</w:t>
      </w:r>
    </w:p>
    <w:p>
      <w:pPr>
        <w:pStyle w:val="Heading1"/>
        <w:pageBreakBefore/>
      </w:pPr>
      <w:r>
        <w:t xml:space="preserve">11. References</w:t>
      </w:r>
    </w:p>
    <w:p>
      <w:pPr>
        <w:spacing w:after="120" w:line="276"/>
        <w:ind w:left="540" w:hanging="540"/>
      </w:pPr>
      <w:r>
        <w:rPr>
          <w:rFonts w:ascii="Times New Roman" w:cs="Times New Roman" w:eastAsia="Times New Roman" w:hAnsi="Times New Roman"/>
          <w:sz w:val="22"/>
          <w:szCs w:val="22"/>
        </w:rPr>
        <w:t xml:space="preserve">[1]  Airline Passenger Satisfaction dataset (teejmahal20). Kaggle. https://www.kaggle.com/datasets/teejmahal20/airline-passenger-satisfaction</w:t>
      </w:r>
    </w:p>
    <w:p>
      <w:pPr>
        <w:spacing w:after="120" w:line="276"/>
        <w:ind w:left="540" w:hanging="540"/>
      </w:pPr>
      <w:r>
        <w:rPr>
          <w:rFonts w:ascii="Times New Roman" w:cs="Times New Roman" w:eastAsia="Times New Roman" w:hAnsi="Times New Roman"/>
          <w:sz w:val="22"/>
          <w:szCs w:val="22"/>
        </w:rPr>
        <w:t xml:space="preserve">[2]  Breiman, L. (2001). Random Forests. Machine Learning, 45(1), 5–32.</w:t>
      </w:r>
    </w:p>
    <w:p>
      <w:pPr>
        <w:spacing w:after="120" w:line="276"/>
        <w:ind w:left="540" w:hanging="540"/>
      </w:pPr>
      <w:r>
        <w:rPr>
          <w:rFonts w:ascii="Times New Roman" w:cs="Times New Roman" w:eastAsia="Times New Roman" w:hAnsi="Times New Roman"/>
          <w:sz w:val="22"/>
          <w:szCs w:val="22"/>
        </w:rPr>
        <w:t xml:space="preserve">[3]  Pedregosa, F., et al. (2011). Scikit-learn: Machine Learning in Python. Journal of Machine Learning Research, 12, 2825–2830.</w:t>
      </w:r>
    </w:p>
    <w:p>
      <w:pPr>
        <w:spacing w:after="120" w:line="276"/>
        <w:ind w:left="540" w:hanging="540"/>
      </w:pPr>
      <w:r>
        <w:rPr>
          <w:rFonts w:ascii="Times New Roman" w:cs="Times New Roman" w:eastAsia="Times New Roman" w:hAnsi="Times New Roman"/>
          <w:sz w:val="22"/>
          <w:szCs w:val="22"/>
        </w:rPr>
        <w:t xml:space="preserve">[4]  McKinney, W. (2010). Data Structures for Statistical Computing in Python. Proceedings of the 9th Python in Science Conference, 51–56.</w:t>
      </w:r>
    </w:p>
    <w:p>
      <w:pPr>
        <w:spacing w:after="120" w:line="276"/>
        <w:ind w:left="540" w:hanging="540"/>
      </w:pPr>
      <w:r>
        <w:rPr>
          <w:rFonts w:ascii="Times New Roman" w:cs="Times New Roman" w:eastAsia="Times New Roman" w:hAnsi="Times New Roman"/>
          <w:sz w:val="22"/>
          <w:szCs w:val="22"/>
        </w:rPr>
        <w:t xml:space="preserve">[5]  Harris, C. R., et al. (2020). Array programming with NumPy. Nature, 585, 357–362.</w:t>
      </w:r>
    </w:p>
    <w:p>
      <w:pPr>
        <w:spacing w:after="120" w:line="276"/>
        <w:ind w:left="540" w:hanging="540"/>
      </w:pPr>
      <w:r>
        <w:rPr>
          <w:rFonts w:ascii="Times New Roman" w:cs="Times New Roman" w:eastAsia="Times New Roman" w:hAnsi="Times New Roman"/>
          <w:sz w:val="22"/>
          <w:szCs w:val="22"/>
        </w:rPr>
        <w:t xml:space="preserve">[6]  Hunter, J. D. (2007). Matplotlib: A 2D Graphics Environment. Computing in Science &amp; Engineering, 9(3), 90–95.</w:t>
      </w:r>
    </w:p>
    <w:p>
      <w:pPr>
        <w:spacing w:after="120" w:line="276"/>
        <w:ind w:left="540" w:hanging="540"/>
      </w:pPr>
      <w:r>
        <w:rPr>
          <w:rFonts w:ascii="Times New Roman" w:cs="Times New Roman" w:eastAsia="Times New Roman" w:hAnsi="Times New Roman"/>
          <w:sz w:val="22"/>
          <w:szCs w:val="22"/>
        </w:rPr>
        <w:t xml:space="preserve">[7]  Waskom, M. L. (2021). seaborn: statistical data visualization. Journal of Open Source Software, 6(60), 3021.</w:t>
      </w:r>
    </w:p>
    <w:p>
      <w:pPr>
        <w:spacing w:after="120" w:line="276"/>
        <w:ind w:left="540" w:hanging="540"/>
      </w:pPr>
      <w:r>
        <w:rPr>
          <w:rFonts w:ascii="Times New Roman" w:cs="Times New Roman" w:eastAsia="Times New Roman" w:hAnsi="Times New Roman"/>
          <w:sz w:val="22"/>
          <w:szCs w:val="22"/>
        </w:rPr>
        <w:t xml:space="preserve">[8]  Streamlit Inc. Streamlit documentation. https://streamlit.io/</w:t>
      </w:r>
    </w:p>
    <w:p>
      <w:pPr>
        <w:spacing w:after="120" w:line="276"/>
        <w:ind w:left="540" w:hanging="540"/>
      </w:pPr>
      <w:r>
        <w:rPr>
          <w:rFonts w:ascii="Times New Roman" w:cs="Times New Roman" w:eastAsia="Times New Roman" w:hAnsi="Times New Roman"/>
          <w:sz w:val="22"/>
          <w:szCs w:val="22"/>
        </w:rPr>
        <w:t xml:space="preserve">[9]  IBM SkillsBuild. https://skillsbuild.org/</w:t>
      </w:r>
    </w:p>
    <w:p>
      <w:pPr>
        <w:spacing w:after="120" w:line="276"/>
        <w:ind w:left="540" w:hanging="540"/>
      </w:pPr>
      <w:r>
        <w:rPr>
          <w:rFonts w:ascii="Times New Roman" w:cs="Times New Roman" w:eastAsia="Times New Roman" w:hAnsi="Times New Roman"/>
          <w:sz w:val="22"/>
          <w:szCs w:val="22"/>
        </w:rPr>
        <w:t xml:space="preserve">[10]  Project files: Piyush_FlightPath_to_Loyalty.ipynb, README.md, requirements.txt, data_dictionary.csv, app.py and figures/ (Airline_Passenger_Satisfaction_Project).</w:t>
      </w:r>
    </w:p>
    <w:sectPr>
      <w:headerReference w:type="default" r:id="rId7"/>
      <w:footerReference w:type="default" r:id="rId8"/>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Piyush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FlightPath to Loyalty – Airline Passenger Satisfaction  |  AICTE | IBM SkillsBuild Internship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24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ffce114d8f986103bd7b544d18d364934cc1d1.png"/><Relationship Id="rId10" Type="http://schemas.openxmlformats.org/officeDocument/2006/relationships/image" Target="media/ec32e16dae9d2acefce4d54b5b979e07ab4d0703.png"/><Relationship Id="rId11" Type="http://schemas.openxmlformats.org/officeDocument/2006/relationships/image" Target="media/da5951b7406fc3b9b9e1bba67fdf753c0fcaa40a.png"/><Relationship Id="rId12" Type="http://schemas.openxmlformats.org/officeDocument/2006/relationships/image" Target="media/ea622d5c7be3c882e60d7c82af153ad711dedc6c.png"/><Relationship Id="rId13" Type="http://schemas.openxmlformats.org/officeDocument/2006/relationships/image" Target="media/dea916d0fa2c088e6081a8b57551083c29de3d22.png"/><Relationship Id="rId14" Type="http://schemas.openxmlformats.org/officeDocument/2006/relationships/image" Target="media/6edeb4da7b47710c1280587353b7fe71aa64c5dd.png"/><Relationship Id="rId15" Type="http://schemas.openxmlformats.org/officeDocument/2006/relationships/image" Target="media/f62cc32e08e0ff7d3d2964f5c4d2a0c3abb00ac6.png"/><Relationship Id="rId16" Type="http://schemas.openxmlformats.org/officeDocument/2006/relationships/image" Target="media/f63451ba7c33d932cc4ea06ea0581e63d1714a77.png"/><Relationship Id="rId17" Type="http://schemas.openxmlformats.org/officeDocument/2006/relationships/image" Target="media/7c71a14fb8555ac2a1d5fdae4d71e6dea742387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FlightPath to Loyalty – Project Report</dc:title>
  <dc:creator>Piyush</dc:creator>
  <cp:lastModifiedBy>Un-named</cp:lastModifiedBy>
  <cp:revision>1</cp:revision>
  <dcterms:created xsi:type="dcterms:W3CDTF">2026-09-24T10:14:40.225Z</dcterms:created>
  <dcterms:modified xsi:type="dcterms:W3CDTF">2026-09-24T10:14:40.225Z</dcterms:modified>
</cp:coreProperties>
</file>

<file path=docProps/custom.xml><?xml version="1.0" encoding="utf-8"?>
<Properties xmlns="http://schemas.openxmlformats.org/officeDocument/2006/custom-properties" xmlns:vt="http://schemas.openxmlformats.org/officeDocument/2006/docPropsVTypes"/>
</file>