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280" w:type="dxa"/>
              <w:bottom w:w="280" w:type="dxa"/>
              <w:left w:w="280" w:type="dxa"/>
              <w:right w:w="280" w:type="dxa"/>
            </w:tcMar>
          </w:tcPr>
          <w:p>
            <w:pPr>
              <w:spacing w:after="40"/>
              <w:jc w:val="left"/>
            </w:pPr>
            <w:r>
              <w:rPr>
                <w:b/>
                <w:color w:val="FBBF24"/>
                <w:sz w:val="19"/>
              </w:rPr>
              <w:t>BANK PROJECT APPRAISAL DOSSIER</w:t>
              <w:br/>
            </w:r>
            <w:r>
              <w:rPr>
                <w:b/>
                <w:color w:val="FFFFFF"/>
                <w:sz w:val="34"/>
              </w:rPr>
              <w:t>DETAILED PROJECT REPORT (DPR) FOR BANK CREDIT APPRAISAL</w:t>
              <w:br/>
            </w:r>
            <w:r>
              <w:rPr>
                <w:color w:val="E2E8F0"/>
                <w:sz w:val="22"/>
              </w:rPr>
              <w:t>Credit Facility Assessment: ₹3.50 Crore Working Capital &amp; Cash Credit (CC) Facility</w:t>
              <w:br/>
              <w:br/>
            </w:r>
            <w:r>
              <w:rPr>
                <w:color w:val="94A3B8"/>
                <w:sz w:val="17"/>
              </w:rPr>
              <w:t>Borrower: FeraBee Liquor Private Limited  |  Project Cost: ₹22.00 Cr  |  Promoter Equity: ₹18.50 Cr  |  DSCR: 4.2x</w:t>
            </w:r>
          </w:p>
        </w:tc>
      </w:tr>
    </w:tbl>
    <w:p>
      <w:pPr>
        <w:keepNext/>
        <w:spacing w:before="360" w:after="12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8"/>
        </w:rPr>
        <w:t>1. Project at a Glance &amp; Credit Request</w:t>
      </w:r>
    </w:p>
    <w:p>
      <w:r>
        <w:t>FeraBee Liquor Private Limited ('Company') submits this Detailed Project Report (DPR) to formalize a request for a ₹3.50 Crore Secured Working Capital / Cash Credit (CC) Facility to finance the operational scaling of its craft spirits bottling line in Goa and its FL-1 Wholesale Bonded Distribution Hub in Maharashtra.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Project Parameter</w:t>
            </w:r>
          </w:p>
        </w:tc>
        <w:tc>
          <w:tcPr>
            <w:tcW w:type="dxa" w:w="360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Particulars / Financial Value</w:t>
            </w:r>
          </w:p>
        </w:tc>
        <w:tc>
          <w:tcPr>
            <w:tcW w:type="dxa" w:w="360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Credit Assessment Benchmark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Borrower Name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FeraBee Liquor Private Limited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CIN / Registration Pending Final Allocation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Total Project Outlay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₹22.00 Crore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Fully funded capital structure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Promoter &amp; Series-A Equity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₹18.50 Crore (84.1%)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Substantial equity cushion; low leverage (0.19 Debt/Equity)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Requested Bank CC Facility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₹3.50 Crore (15.9%)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Secured working capital against inventory &amp; receivables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Projected Year 1 Turnover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₹37.38 Crore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Backed by captive off-take across 60 franchise lounges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Projected Year 1 EBITDA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₹10.00 Crore (26.7%)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Strong operating cash-flow generation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Debt Service Coverage Ratio (DSCR)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4.2x (Average 3-Year)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Well above statutory banking benchmark of 1.5x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Security / Collateral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Primary charge on current assets + Tooling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Hypothecation of ₹4.2 Cr tooling + inventory</w:t>
            </w:r>
          </w:p>
        </w:tc>
      </w:tr>
    </w:tbl>
    <w:p>
      <w:pPr>
        <w:keepNext/>
        <w:spacing w:before="360" w:after="12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8"/>
        </w:rPr>
        <w:t>2. Means of Finance &amp; Project Cost Schedule</w:t>
      </w:r>
    </w:p>
    <w:p>
      <w:r>
        <w:t>The overall project capitalization is structured to maintain ultra-conservative debt-equity gearing: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Capital Source</w:t>
            </w:r>
          </w:p>
        </w:tc>
        <w:tc>
          <w:tcPr>
            <w:tcW w:type="dxa" w:w="288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Nature of Funding</w:t>
            </w:r>
          </w:p>
        </w:tc>
        <w:tc>
          <w:tcPr>
            <w:tcW w:type="dxa" w:w="21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Amount (₹ Crore)</w:t>
            </w:r>
          </w:p>
        </w:tc>
        <w:tc>
          <w:tcPr>
            <w:tcW w:type="dxa" w:w="21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Share of Total (%)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Promoters' Paid-Up Equity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Common Share Capital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₹0.50 Cr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2.3%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Series-A Preferred Equity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External Institutional Equity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₹18.00 Cr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81.8%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Proposed Bank CC Facility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Secured Working Capital Debt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₹3.50 Cr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15.9%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TOTAL CAPITALIZATION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Fully Funded Project Runway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₹22.00 Cr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100.0%</w:t>
            </w:r>
          </w:p>
        </w:tc>
      </w:tr>
    </w:tbl>
    <w:p>
      <w:pPr>
        <w:keepNext/>
        <w:spacing w:before="360" w:after="12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8"/>
        </w:rPr>
        <w:t>3. Working Capital Assessment (Tandon / Nayak Committee MPBF Method)</w:t>
      </w:r>
    </w:p>
    <w:p>
      <w:r>
        <w:t>Working capital requirements have been appraised based on standard Maximum Permissible Bank Finance (MPBF) norms for the distillery and FMCG beverage sector: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Asset / Inventory Head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Holding Period (Days)</w:t>
            </w:r>
          </w:p>
        </w:tc>
        <w:tc>
          <w:tcPr>
            <w:tcW w:type="dxa" w:w="201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Projected Value (₹ Crore)</w:t>
            </w:r>
          </w:p>
        </w:tc>
        <w:tc>
          <w:tcPr>
            <w:tcW w:type="dxa" w:w="158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Bank Margin (%)</w:t>
            </w:r>
          </w:p>
        </w:tc>
        <w:tc>
          <w:tcPr>
            <w:tcW w:type="dxa" w:w="201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Bank Credit Eligible (₹ Cr)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Raw Materials (ENA, Scotch Malt, Botanicals)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45 Days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₹2.80 Cr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25.0%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₹2.10 Cr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Packaging Material (Bottles, Cans, Caps)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60 Days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₹1.90 Cr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25.0%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₹1.42 Cr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Bonded Warehouse Stock-in-Transit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30 Days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₹1.50 Cr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25.0%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₹1.12 Cr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Trade Receivables (Franchise Lounge Stock)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15 Days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₹1.20 Cr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40.0%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₹0.72 Cr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TOTAL CURRENT ASSETS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—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₹7.40 Cr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—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₹5.36 Cr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Less: Trade Creditors / Other Current Liab.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30 Days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₹1.50 Cr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—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—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NET WORKING CAPITAL GAP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—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₹5.90 Cr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—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—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Borrower Margin Contribution (Equity)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—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₹2.40 Cr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40.7%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—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MAXIMUM PERMISSIBLE BANK FINANCE (MPBF)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—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₹3.50 Cr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—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₹3.50 Cr (Exact Request)</w:t>
            </w:r>
          </w:p>
        </w:tc>
      </w:tr>
    </w:tbl>
    <w:p>
      <w:pPr>
        <w:keepNext/>
        <w:spacing w:before="360" w:after="12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8"/>
        </w:rPr>
        <w:t>4. Key Financial Ratios &amp; Debt Service Metrics (3 Years)</w:t>
      </w:r>
    </w:p>
    <w:p>
      <w:r>
        <w:t>The financial projections demonstrate robust liquidity and debt service capability across the entire 3-year term: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45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Financial Ratio / Metric</w:t>
            </w:r>
          </w:p>
        </w:tc>
        <w:tc>
          <w:tcPr>
            <w:tcW w:type="dxa" w:w="158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Year 1</w:t>
            </w:r>
          </w:p>
        </w:tc>
        <w:tc>
          <w:tcPr>
            <w:tcW w:type="dxa" w:w="158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158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Year 3</w:t>
            </w:r>
          </w:p>
        </w:tc>
        <w:tc>
          <w:tcPr>
            <w:tcW w:type="dxa" w:w="21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Statutory Bank Benchmark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Current Ratio (CR)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2.10x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2.45x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2.80x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Min. 1.33x (Met)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Debt-to-Equity Ratio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0.19x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0.12x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0.05x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Max. 2.00x (Excellent)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Interest Coverage Ratio (ICR)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7.14x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16.42x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27.85x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Min. 2.50x (Met)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Debt Service Coverage Ratio (DSCR)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3.85x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4.20x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5.10x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Min. 1.50x (Met)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EBITDA Margin (%)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26.7%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28.6%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26.9%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Min. 12.0% (Met)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Return on Capital Employed (ROCE)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38.5%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52.4%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64.0%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Min. 15.0% (Met)</w:t>
            </w:r>
          </w:p>
        </w:tc>
      </w:tr>
    </w:tbl>
    <w:p>
      <w:pPr>
        <w:keepNext/>
        <w:spacing w:before="360" w:after="12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8"/>
        </w:rPr>
        <w:t>5. Security, Collateral &amp; Risk Mitigation Structure</w:t>
      </w:r>
    </w:p>
    <w:p>
      <w:r>
        <w:t>1. Primary Security: First pari-passu hypothecation charge on all current assets of the Company including raw materials, work-in-progress, finished goods at bonded warehouses, and trade receivables.</w:t>
        <w:br/>
        <w:t>2. Fixed Asset Security: First charge on custom glass tooling and moulds valued at ₹4.20 Crore and brewery/distillery leasehold fixtures.</w:t>
        <w:br/>
        <w:t>3. Promoter Personal Guarantees: Joint and personal unconditional guarantees executed by the two key promoters.</w:t>
        <w:br/>
        <w:t>4. Debt Service Mechanism: Escrow routing of all franchise royalty and supply receivables through the lending bank's designated current account.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