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40"/>
              <w:jc w:val="left"/>
            </w:pPr>
            <w:r>
              <w:rPr>
                <w:b/>
                <w:color w:val="FBBF24"/>
                <w:sz w:val="19"/>
              </w:rPr>
              <w:t>CLIENT HANDOVER &amp; EXECUTIVE PITCH STRATEGY PLAYBOOK</w:t>
              <w:br/>
            </w:r>
            <w:r>
              <w:rPr>
                <w:b/>
                <w:color w:val="FFFFFF"/>
                <w:sz w:val="34"/>
              </w:rPr>
              <w:t>COMMERCIAL PITCHING &amp; STAKEHOLDER ENGAGEMENT STRATEGY</w:t>
              <w:br/>
            </w:r>
            <w:r>
              <w:rPr>
                <w:color w:val="E2E8F0"/>
                <w:sz w:val="21"/>
              </w:rPr>
              <w:t>Master Execution Guide for Pitching to Equity Investors, Franchise Partners, Banks &amp; Regulators</w:t>
              <w:br/>
              <w:br/>
            </w:r>
            <w:r>
              <w:rPr>
                <w:color w:val="94A3B8"/>
                <w:sz w:val="17"/>
              </w:rPr>
              <w:t>Prepared for FeraBee Leadership &amp; Advisory Team  |  Confidential Commercial Playbook</w:t>
            </w:r>
          </w:p>
        </w:tc>
      </w:tr>
    </w:tbl>
    <w:p>
      <w:pPr>
        <w:keepNext/>
        <w:spacing w:before="320" w:after="100"/>
        <w:pBdr>
          <w:bottom w:val="single" w:sz="12" w:space="4" w:color="D97706"/>
        </w:pBdr>
      </w:pPr>
      <w:r>
        <w:rPr>
          <w:rFonts w:ascii="Calibri" w:hAnsi="Calibri"/>
          <w:b/>
          <w:color w:val="0F172A"/>
          <w:sz w:val="27"/>
        </w:rPr>
        <w:t>1. Stakeholder Engagement Matrix &amp; Document Mapping</w:t>
      </w:r>
    </w:p>
    <w:p>
      <w:r>
        <w:t>To maximize commercial conversion and prevent cognitive overload, your client must present specific documents to specific audiences. Never send the full 10-document package to a cold lead. Follow this structured document deployment funnel: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Target Stakeholder</w:t>
            </w:r>
          </w:p>
        </w:tc>
        <w:tc>
          <w:tcPr>
            <w:tcW w:type="dxa" w:w="259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Initial Outreach Asset</w:t>
            </w:r>
          </w:p>
        </w:tc>
        <w:tc>
          <w:tcPr>
            <w:tcW w:type="dxa" w:w="259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Deep-Dive Follow-Up Asset</w:t>
            </w:r>
          </w:p>
        </w:tc>
        <w:tc>
          <w:tcPr>
            <w:tcW w:type="dxa" w:w="259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Closing / Execution Asset</w:t>
            </w:r>
          </w:p>
        </w:tc>
      </w:tr>
      <w:tr>
        <w:tc>
          <w:tcPr>
            <w:tcW w:type="dxa" w:w="23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Venture Capital / PE Funds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Executive 2-Page Teaser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Investor PPM Dossier &amp; Slide Deck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Excel Financial Model &amp; Cap Table</w:t>
            </w:r>
          </w:p>
        </w:tc>
      </w:tr>
      <w:tr>
        <w:tc>
          <w:tcPr>
            <w:tcW w:type="dxa" w:w="230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High-Net-Worth Franchisees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Executive 2-Page Teaser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Franchise Sales Prospectus &amp; Simulator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Binding LOI &amp; Franchise Contract</w:t>
            </w:r>
          </w:p>
        </w:tc>
      </w:tr>
      <w:tr>
        <w:tc>
          <w:tcPr>
            <w:tcW w:type="dxa" w:w="23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Commercial Banks / Lenders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Bank DPR Summary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Detailed Project Report (DPR) &amp; DSCR Table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Asset Schedule &amp; Personal Guarantees</w:t>
            </w:r>
          </w:p>
        </w:tc>
      </w:tr>
      <w:tr>
        <w:tc>
          <w:tcPr>
            <w:tcW w:type="dxa" w:w="230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State Excise Authorities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Statutory Executive Summary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Government Regulatory Compliance Dossier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Label Applications &amp; Checkpost Pass-2</w:t>
            </w:r>
          </w:p>
        </w:tc>
      </w:tr>
      <w:tr>
        <w:tc>
          <w:tcPr>
            <w:tcW w:type="dxa" w:w="23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Distillery Bottling Partners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Volume Production Summary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Bottling Lease &amp; Co-Packing Agreement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QC Protocol &amp; SLA Schedule</w:t>
            </w:r>
          </w:p>
        </w:tc>
      </w:tr>
    </w:tbl>
    <w:p>
      <w:pPr>
        <w:keepNext/>
        <w:spacing w:before="320" w:after="100"/>
        <w:pBdr>
          <w:bottom w:val="single" w:sz="12" w:space="4" w:color="D97706"/>
        </w:pBdr>
      </w:pPr>
      <w:r>
        <w:rPr>
          <w:rFonts w:ascii="Calibri" w:hAnsi="Calibri"/>
          <w:b/>
          <w:color w:val="0F172A"/>
          <w:sz w:val="27"/>
        </w:rPr>
        <w:t>2. Investor Pitch Meeting Playbook (Raising ₹18.0 Crore)</w:t>
      </w:r>
    </w:p>
    <w:p>
      <w:r>
        <w:t>When presenting to institutional investors or angel syndicates, follow this 4-step pitch progression:</w:t>
        <w:br/>
        <w:t>• Step 1 (Hook - 3 mins): Open with the 'Retail Bottleneck' problem. Show that incumbent liquor brands burn 35-40% on distributors, while FeraBee bypasses them entirely with 367 captive Bee Lounges.</w:t>
        <w:br/>
        <w:t>• Step 2 (Product &amp; Margins - 5 mins): Demonstrate the 6-SKU portfolio (Whisky, Vodka, Gin, Rum, Beer, Wine) locking in 80%+ gross margins.</w:t>
        <w:br/>
        <w:t>• Step 3 (Unit Economics - 7 mins): Walk through the 100-cover lounge P&amp;L (₹50.86L revenue, ₹9.95L net cash flow, 12.6–18.0 month payback).</w:t>
        <w:br/>
        <w:t>• Step 4 (The Ask &amp; Returns - 5 mins): Present the ₹18.0 Cr Series-A equity raise at ₹72.0 Cr post-money valuation, showing the 36-month exit bridge to ₹288 Cr–₹780 Cr enterprise valuation (4.0x–10.8x MOIC).</w:t>
      </w:r>
    </w:p>
    <w:p>
      <w:pPr>
        <w:keepNext/>
        <w:spacing w:before="320" w:after="100"/>
        <w:pBdr>
          <w:bottom w:val="single" w:sz="12" w:space="4" w:color="D97706"/>
        </w:pBdr>
      </w:pPr>
      <w:r>
        <w:rPr>
          <w:rFonts w:ascii="Calibri" w:hAnsi="Calibri"/>
          <w:b/>
          <w:color w:val="0F172A"/>
          <w:sz w:val="27"/>
        </w:rPr>
        <w:t>3. Handling Tough Investor &amp; Franchisee Objections</w:t>
      </w:r>
    </w:p>
    <w:p>
      <w:r>
        <w:t>Prepare your client to handle the top 3 critical questions with confident, validated answers:</w:t>
      </w:r>
    </w:p>
    <w:p>
      <w:pPr>
        <w:keepNext/>
        <w:spacing w:before="220" w:after="60"/>
      </w:pPr>
      <w:r>
        <w:rPr>
          <w:rFonts w:ascii="Calibri" w:hAnsi="Calibri"/>
          <w:b/>
          <w:color w:val="1E3A8A"/>
          <w:sz w:val="22"/>
        </w:rPr>
        <w:t>Objection 1: 'Is the unlimited liquor model legal in Maharashtra?'</w:t>
      </w:r>
    </w:p>
    <w:p>
      <w:r>
        <w:t>Answer: 'Yes, 100% compliant. We do not promote unrestricted drinking competitions. Under our Prix-Fixe Culinary Experience, guests purchase multi-course food and receive measured RFID Smart Tokens (4 to 8 tokens). All pours are dispensed via Bluetooth IoT 60ml optic pourers with a hard 2.5-hour seating cap, fully compliant with Section 142 of the Maharashtra Prohibition Act.'</w:t>
      </w:r>
    </w:p>
    <w:p>
      <w:pPr>
        <w:keepNext/>
        <w:spacing w:before="220" w:after="60"/>
      </w:pPr>
      <w:r>
        <w:rPr>
          <w:rFonts w:ascii="Calibri" w:hAnsi="Calibri"/>
          <w:b/>
          <w:color w:val="1E3A8A"/>
          <w:sz w:val="22"/>
        </w:rPr>
        <w:t>Objection 2: 'Why FOCO instead of COFO?'</w:t>
      </w:r>
    </w:p>
    <w:p>
      <w:r>
        <w:t>Answer: 'Under COFO, building 367 outlets would require over ₹400 Crore of company capital. By pivoting to FOCO (Franchise Owned Company Operated), local partners fund the ₹1.25 Cr store capex and own the physical asset, while our central management operates the venue. This allows FeraBee to scale across 367 Talukas within our ₹22 Cr capitalization while maintaining 100% quality and brand control.'</w:t>
      </w:r>
    </w:p>
    <w:p>
      <w:pPr>
        <w:keepNext/>
        <w:spacing w:before="220" w:after="60"/>
      </w:pPr>
      <w:r>
        <w:rPr>
          <w:rFonts w:ascii="Calibri" w:hAnsi="Calibri"/>
          <w:b/>
          <w:color w:val="1E3A8A"/>
          <w:sz w:val="22"/>
        </w:rPr>
        <w:t>Objection 3: 'How does the franchisee achieve a 12 to 18 month payback?'</w:t>
      </w:r>
    </w:p>
    <w:p>
      <w:r>
        <w:t>Answer: 'At 105 package guests and 45 a la carte guests per day across 26 operating days, gross monthly revenue reaches ₹50.86 Lakh. With gross profit at 52% (₹26.45L) and realistic operating expenses of ₹16.50L (including ₹4.5L rent, 22 staff payroll, and 6% royalty), the net monthly cash flow is ₹9.95 Lakh (~₹1.19 Cr/year), delivering a full capex payback in 12.6 to 18.0 months with an IRR of 62%.'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Calibri" w:hAnsi="Calibri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