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40"/>
              <w:jc w:val="left"/>
            </w:pPr>
            <w:r>
              <w:rPr>
                <w:b/>
                <w:color w:val="FBBF24"/>
                <w:sz w:val="18"/>
              </w:rPr>
              <w:t>MANUFACTURING &amp; CO-PACKING CONTRACT</w:t>
              <w:br/>
            </w:r>
            <w:r>
              <w:rPr>
                <w:b/>
                <w:color w:val="FFFFFF"/>
                <w:sz w:val="32"/>
              </w:rPr>
              <w:t>THIRD-PARTY DISTILLERY BOTTLING LEASE</w:t>
              <w:br/>
              <w:t>&amp; CONTRACT MANUFACTURING AGREEMENT</w:t>
              <w:br/>
            </w:r>
            <w:r>
              <w:rPr>
                <w:color w:val="E2E8F0"/>
                <w:sz w:val="21"/>
              </w:rPr>
              <w:t>Commercial Manufacturing Agreement for FeraBee Premium Spirits &amp; Beer Bottling in Goa</w:t>
              <w:br/>
              <w:br/>
            </w:r>
            <w:r>
              <w:rPr>
                <w:color w:val="94A3B8"/>
                <w:sz w:val="17"/>
              </w:rPr>
              <w:t>Principal: FeraBee Liquor Pvt Ltd  |  Capacity: Min. 25,000 Cases / Month  |  Processing Fee: ₹45 – ₹60 / Case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1. Commercial Terms &amp; Processing Fee Architecture</w:t>
      </w:r>
    </w:p>
    <w:p>
      <w:r>
        <w:t>This Third-Party Bottling Lease Agreement is entered into between FERABEE LIQUOR PRIVATE LIMITED ('Brand Principal') and ____________________________________ DISTILLERY &amp; BOTTLING PVT LTD, located at Industrial Estate, Ponda / Verna, Goa ('Manufacturer / Bottler').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Product Line</w:t>
            </w:r>
          </w:p>
        </w:tc>
        <w:tc>
          <w:tcPr>
            <w:tcW w:type="dxa" w:w="20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Packaging Format</w:t>
            </w:r>
          </w:p>
        </w:tc>
        <w:tc>
          <w:tcPr>
            <w:tcW w:type="dxa" w:w="20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Monthly Volume Target</w:t>
            </w:r>
          </w:p>
        </w:tc>
        <w:tc>
          <w:tcPr>
            <w:tcW w:type="dxa" w:w="17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Bottling Fee / Case (9L)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Inclusions &amp; Scope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Reserve Whisky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Custom Black Glass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8,000 Cases (72,000 L)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₹55.00 / Case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DM water, blending, automatic filling, labeling, carton sealing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Pure Vodka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Clear Glass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5,000 Cases (45,000 L)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₹48.00 / Case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Triple-charcoal filtration, nitrogen flush, capping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Botanical Gin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Clear Glass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3,500 Cases (31,500 L)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₹52.00 / Case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Vapor infusion botanicals, proofing, labeling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Dark Rum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Glass Bottle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4,500 Cases (40,500 L)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₹45.00 / Case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Molasses blending, caramel adjustment, automated packaging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Crisp Lager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650ml Btl / 500ml Can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4,000 Cases (36,000 L)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₹60.00 / Case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Flash pasteurization, canning line, shrink wrapping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TOTAL MONTHLY CAPACITY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Multi-SKU Portfolio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25,000 Cases (2.25L L)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₹45 – ₹60 Weighted Avg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Full turnkey contract bottling line commitment</w:t>
            </w:r>
          </w:p>
        </w:tc>
      </w:tr>
    </w:tbl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2. Raw Material Specifications &amp; Sourcing Protocols</w:t>
      </w:r>
    </w:p>
    <w:p>
      <w:r>
        <w:t>1. Extra Neutral Alcohol (ENA): 96.5% grain-neutral spirit, triple-distilled, free from sulfur and higher aldehydes, sourced from Maharashtra/Karnataka.</w:t>
        <w:br/>
        <w:t>2. Imported Malt Concentrate: 18-Year Highland Single Malt Scotch concentrate imported under Customs Bonded warehouse clearance (IEC).</w:t>
        <w:br/>
        <w:t>3. Quality Testing &amp; QC Release: Every batch must undergo gas chromatography (GC) testing, sensory evaluation by FeraBee’s Master Blender, and obtain an excise chemical analyzer clearance certificate before bottling.</w:t>
      </w:r>
    </w:p>
    <w:p>
      <w:pPr>
        <w:keepNext/>
        <w:spacing w:before="320" w:after="100"/>
        <w:pBdr>
          <w:bottom w:val="single" w:sz="12" w:space="4" w:color="D97706"/>
        </w:pBdr>
      </w:pPr>
      <w:r>
        <w:rPr>
          <w:rFonts w:ascii="Calibri" w:hAnsi="Calibri"/>
          <w:b/>
          <w:color w:val="0F172A"/>
          <w:sz w:val="26"/>
        </w:rPr>
        <w:t>3. State Excise Compliance &amp; Bonded Transit SOP</w:t>
      </w:r>
    </w:p>
    <w:p>
      <w:r>
        <w:t>The Manufacturer shall maintain dedicated Goa Excise Management System (GEMS) logs, coordinate export duty payments (~₹10–₹15/case), facilitate Inter-State Transport Pass (Pass-2) issuance, and ensure GPS-tracked bonded dispatch to Maharashtra FL-1 wholesale warehouses.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