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onsolas" w:hAnsi="Consolas"/>
          <w:b/>
          <w:color w:val="003366"/>
          <w:sz w:val="56"/>
        </w:rPr>
        <w:t>FERABEE EXECUTION BLUEPRINT</w:t>
        <w:br/>
      </w:r>
      <w:r>
        <w:rPr>
          <w:rFonts w:ascii="Calibri" w:hAnsi="Calibri"/>
          <w:b/>
          <w:color w:val="808080"/>
          <w:sz w:val="20"/>
        </w:rPr>
        <w:t>OPERATIONAL ROADMAP &amp; COMPLIANCE ARCHITECTURE</w:t>
        <w:br/>
        <w:t>CONFIDENTIAL - INTERNAL DISTRIBUTION ONLY</w:t>
      </w:r>
    </w:p>
    <w:p>
      <w:pPr>
        <w:spacing w:after="400"/>
      </w:pPr>
    </w:p>
    <w:p>
      <w:pPr>
        <w:spacing w:before="400" w:after="120"/>
      </w:pPr>
      <w:r>
        <w:rPr>
          <w:rFonts w:ascii="Consolas" w:hAnsi="Consolas"/>
          <w:b/>
          <w:color w:val="003366"/>
          <w:sz w:val="28"/>
        </w:rPr>
        <w:t>► PHASE 1: INCORPORATION &amp; GOA MANUFACTURING SETUP (MONTHS 1-2)</w:t>
      </w:r>
    </w:p>
    <w:p>
      <w:pPr>
        <w:spacing w:after="80"/>
        <w:ind w:left="360"/>
      </w:pPr>
      <w:r>
        <w:rPr>
          <w:rFonts w:ascii="Consolas" w:hAnsi="Consolas"/>
          <w:b/>
          <w:color w:val="008000"/>
          <w:sz w:val="20"/>
        </w:rPr>
        <w:t xml:space="preserve">[COMPLETED] </w:t>
      </w:r>
      <w:r>
        <w:rPr>
          <w:rFonts w:ascii="Calibri" w:hAnsi="Calibri"/>
          <w:sz w:val="22"/>
        </w:rPr>
        <w:t>FeraBee Liquor Pvt Ltd RoC Company Registration.</w:t>
      </w:r>
    </w:p>
    <w:p>
      <w:pPr>
        <w:spacing w:after="80"/>
        <w:ind w:left="360"/>
      </w:pPr>
      <w:r>
        <w:rPr>
          <w:rFonts w:ascii="Consolas" w:hAnsi="Consolas"/>
          <w:b/>
          <w:color w:val="008000"/>
          <w:sz w:val="20"/>
        </w:rPr>
        <w:t xml:space="preserve">[COMPLETED] </w:t>
      </w:r>
      <w:r>
        <w:rPr>
          <w:rFonts w:ascii="Calibri" w:hAnsi="Calibri"/>
          <w:sz w:val="22"/>
        </w:rPr>
        <w:t>Trademark filing for 'FeraBee', 'The Royal Bee', and 'Hexagonal Logo'.</w:t>
      </w:r>
    </w:p>
    <w:p>
      <w:pPr>
        <w:spacing w:after="80"/>
        <w:ind w:left="360"/>
      </w:pPr>
      <w:r>
        <w:rPr>
          <w:rFonts w:ascii="Consolas" w:hAnsi="Consolas"/>
          <w:b/>
          <w:color w:val="CC0000"/>
          <w:sz w:val="20"/>
        </w:rPr>
        <w:t xml:space="preserve">[CRITICAL] </w:t>
      </w:r>
      <w:r>
        <w:rPr>
          <w:rFonts w:ascii="Calibri" w:hAnsi="Calibri"/>
          <w:sz w:val="22"/>
        </w:rPr>
        <w:t>Finalize Third-Party Lease Bottling Agreement in Goa (Verna/Ponda).</w:t>
      </w:r>
    </w:p>
    <w:p>
      <w:pPr>
        <w:spacing w:after="80"/>
        <w:ind w:left="360"/>
      </w:pPr>
      <w:r>
        <w:rPr>
          <w:rFonts w:ascii="Consolas" w:hAnsi="Consolas"/>
          <w:b/>
          <w:color w:val="CC6600"/>
          <w:sz w:val="20"/>
        </w:rPr>
        <w:t xml:space="preserve">[PENDING] </w:t>
      </w:r>
      <w:r>
        <w:rPr>
          <w:rFonts w:ascii="Calibri" w:hAnsi="Calibri"/>
          <w:sz w:val="22"/>
        </w:rPr>
        <w:t>Submit FL-9 Label Registrations for 6 Core SKUs to Goa State Excise.</w:t>
      </w:r>
    </w:p>
    <w:p>
      <w:pPr>
        <w:spacing w:after="80"/>
        <w:ind w:left="360"/>
      </w:pPr>
      <w:r>
        <w:rPr>
          <w:rFonts w:ascii="Consolas" w:hAnsi="Consolas"/>
          <w:b/>
          <w:color w:val="CC0000"/>
          <w:sz w:val="20"/>
        </w:rPr>
        <w:t xml:space="preserve">[CRITICAL] </w:t>
      </w:r>
      <w:r>
        <w:rPr>
          <w:rFonts w:ascii="Calibri" w:hAnsi="Calibri"/>
          <w:sz w:val="22"/>
        </w:rPr>
        <w:t>Procure initial Glassware molds and custom black spray-coated bottles.</w:t>
      </w:r>
    </w:p>
    <w:p>
      <w:pPr>
        <w:spacing w:before="400" w:after="120"/>
      </w:pPr>
      <w:r>
        <w:rPr>
          <w:rFonts w:ascii="Consolas" w:hAnsi="Consolas"/>
          <w:b/>
          <w:color w:val="003366"/>
          <w:sz w:val="28"/>
        </w:rPr>
        <w:t>► PHASE 2: MAHARASHTRA IMPORT &amp; LOGISTICS PIPELINE (MONTHS 2-3)</w:t>
      </w:r>
    </w:p>
    <w:p>
      <w:pPr>
        <w:spacing w:after="160"/>
      </w:pPr>
      <w:r>
        <w:rPr>
          <w:rFonts w:ascii="Calibri" w:hAnsi="Calibri"/>
          <w:color w:val="1E1E1E"/>
          <w:sz w:val="22"/>
        </w:rPr>
        <w:t>Establishing the supply chain corridor from Goa bottling plant to Maharashtra State Excise warehouses.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3366"/>
          <w:bottom w:val="single" w:sz="12" w:space="0" w:color="003366"/>
          <w:insideH w:val="single" w:sz="4" w:space="0" w:color="CCCCCC"/>
          <w:insideV w:val="single" w:sz="4" w:space="0" w:color="CCCCCC"/>
          <w:left w:val="single" w:sz="12" w:space="0" w:color="003366"/>
          <w:right w:val="single" w:sz="12" w:space="0" w:color="003366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Action Item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Regulatory Authority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Timeline</w:t>
            </w:r>
          </w:p>
        </w:tc>
        <w:tc>
          <w:tcPr>
            <w:tcW w:type="dxa" w:w="216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Apply for FL-1 Wholesale License (MH)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Maharashtra State Excise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 6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Secure Bonded Warehouse (Pune/Thane)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MH Excise &amp; Fire Dept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 8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In Progress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Register Goa Labels for MH Import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Bhavan Excise Office, Mumbai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 9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Pending</w:t>
            </w:r>
          </w:p>
        </w:tc>
      </w:tr>
      <w:tr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Establish Transport Pass (TP) Protocol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Inter-State Border Checkposts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Week 10</w:t>
            </w:r>
          </w:p>
        </w:tc>
        <w:tc>
          <w:tcPr>
            <w:tcW w:type="dxa" w:w="216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Pending</w:t>
            </w:r>
          </w:p>
        </w:tc>
      </w:tr>
    </w:tbl>
    <w:p>
      <w:pPr>
        <w:spacing w:after="240"/>
      </w:pPr>
    </w:p>
    <w:p>
      <w:pPr>
        <w:spacing w:before="400" w:after="120"/>
      </w:pPr>
      <w:r>
        <w:rPr>
          <w:rFonts w:ascii="Consolas" w:hAnsi="Consolas"/>
          <w:b/>
          <w:color w:val="003366"/>
          <w:sz w:val="28"/>
        </w:rPr>
        <w:t>► PHASE 3: FLAGSHIP LOUNGE LAUNCH (MONTHS 3-4)</w:t>
      </w:r>
    </w:p>
    <w:p>
      <w:pPr>
        <w:spacing w:after="160"/>
      </w:pPr>
      <w:r>
        <w:rPr>
          <w:rFonts w:ascii="Calibri" w:hAnsi="Calibri"/>
          <w:color w:val="1E1E1E"/>
          <w:sz w:val="22"/>
        </w:rPr>
        <w:t>Rollout of the first 3 Company Owned Company Operated (COCO) lounges to prove unit economics.</w:t>
      </w:r>
    </w:p>
    <w:p>
      <w:pPr>
        <w:spacing w:after="80"/>
        <w:ind w:left="360"/>
      </w:pPr>
      <w:r>
        <w:rPr>
          <w:rFonts w:ascii="Consolas" w:hAnsi="Consolas"/>
          <w:b/>
          <w:color w:val="CC0000"/>
          <w:sz w:val="20"/>
        </w:rPr>
        <w:t xml:space="preserve">[CRITICAL] </w:t>
      </w:r>
      <w:r>
        <w:rPr>
          <w:rFonts w:ascii="Calibri" w:hAnsi="Calibri"/>
          <w:sz w:val="22"/>
        </w:rPr>
        <w:t>Lease signing: Pune (FC Road), Thane (Ghodbunder), Panjim (Tiswadi).</w:t>
      </w:r>
    </w:p>
    <w:p>
      <w:pPr>
        <w:spacing w:after="80"/>
        <w:ind w:left="360"/>
      </w:pPr>
      <w:r>
        <w:rPr>
          <w:rFonts w:ascii="Consolas" w:hAnsi="Consolas"/>
          <w:b/>
          <w:color w:val="CC6600"/>
          <w:sz w:val="20"/>
        </w:rPr>
        <w:t xml:space="preserve">[PENDING] </w:t>
      </w:r>
      <w:r>
        <w:rPr>
          <w:rFonts w:ascii="Calibri" w:hAnsi="Calibri"/>
          <w:sz w:val="22"/>
        </w:rPr>
        <w:t>FL-3 Bar License Application &amp; Local Police NOC.</w:t>
      </w:r>
    </w:p>
    <w:p>
      <w:pPr>
        <w:spacing w:after="80"/>
        <w:ind w:left="360"/>
      </w:pPr>
      <w:r>
        <w:rPr>
          <w:rFonts w:ascii="Consolas" w:hAnsi="Consolas"/>
          <w:b/>
          <w:color w:val="CC6600"/>
          <w:sz w:val="20"/>
        </w:rPr>
        <w:t xml:space="preserve">[PENDING] </w:t>
      </w:r>
      <w:r>
        <w:rPr>
          <w:rFonts w:ascii="Calibri" w:hAnsi="Calibri"/>
          <w:sz w:val="22"/>
        </w:rPr>
        <w:t>Interior Fit-out: Hexagonal ceiling, Black Marble, 3D Bee feature wall.</w:t>
      </w:r>
    </w:p>
    <w:p>
      <w:pPr>
        <w:spacing w:after="80"/>
        <w:ind w:left="360"/>
      </w:pPr>
      <w:r>
        <w:rPr>
          <w:rFonts w:ascii="Consolas" w:hAnsi="Consolas"/>
          <w:b/>
          <w:color w:val="CC6600"/>
          <w:sz w:val="20"/>
        </w:rPr>
        <w:t xml:space="preserve">[PENDING] </w:t>
      </w:r>
      <w:r>
        <w:rPr>
          <w:rFonts w:ascii="Calibri" w:hAnsi="Calibri"/>
          <w:sz w:val="22"/>
        </w:rPr>
        <w:t>Procure RFID Wristband POS system and 60ml Electronic Auto-Pourers.</w:t>
      </w:r>
    </w:p>
    <w:p>
      <w:pPr>
        <w:spacing w:after="80"/>
        <w:ind w:left="360"/>
      </w:pPr>
      <w:r>
        <w:rPr>
          <w:rFonts w:ascii="Consolas" w:hAnsi="Consolas"/>
          <w:b/>
          <w:color w:val="CC6600"/>
          <w:sz w:val="20"/>
        </w:rPr>
        <w:t xml:space="preserve">[PENDING] </w:t>
      </w:r>
      <w:r>
        <w:rPr>
          <w:rFonts w:ascii="Calibri" w:hAnsi="Calibri"/>
          <w:sz w:val="22"/>
        </w:rPr>
        <w:t>Hire &amp; Train: 14 Staff Members per outlet (Mixologists, Chefs, Servers).</w:t>
      </w:r>
    </w:p>
    <w:p>
      <w:pPr>
        <w:spacing w:before="400" w:after="120"/>
      </w:pPr>
      <w:r>
        <w:rPr>
          <w:rFonts w:ascii="Consolas" w:hAnsi="Consolas"/>
          <w:b/>
          <w:color w:val="003366"/>
          <w:sz w:val="28"/>
        </w:rPr>
        <w:t>► PHASE 4: FRANCHISE EXPANSION (MONTHS 5-36)</w:t>
      </w:r>
    </w:p>
    <w:p>
      <w:pPr>
        <w:spacing w:after="160"/>
      </w:pPr>
      <w:r>
        <w:rPr>
          <w:rFonts w:ascii="Calibri" w:hAnsi="Calibri"/>
          <w:color w:val="1E1E1E"/>
          <w:sz w:val="22"/>
        </w:rPr>
        <w:t>Aggressive scale-up to 367 Taluka Lounges targeting 1 Lounge per Taluka (15km Exclusivity).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3366"/>
          <w:bottom w:val="single" w:sz="12" w:space="0" w:color="003366"/>
          <w:insideH w:val="single" w:sz="4" w:space="0" w:color="CCCCCC"/>
          <w:insideV w:val="single" w:sz="4" w:space="0" w:color="CCCCCC"/>
          <w:left w:val="single" w:sz="12" w:space="0" w:color="003366"/>
          <w:right w:val="single" w:sz="12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Cumulative Outlet Count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Target Gross Revenue Run-Rate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Month 6: Tier-1 Talukas Live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25 Lounges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₹12.7 Crore / Month</w:t>
            </w:r>
          </w:p>
        </w:tc>
      </w:tr>
      <w:tr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Month 12: Western MH &amp; Goa Complete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100 Lounges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₹50.8 Crore / Month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Month 24: Deep Maharashtra Penetration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200 Lounges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₹101.7 Crore / Month</w:t>
            </w:r>
          </w:p>
        </w:tc>
      </w:tr>
      <w:tr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Month 36: Full State Coverage (Exit Phase)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367 Lounges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₹186.6 Crore / Month</w:t>
            </w:r>
          </w:p>
        </w:tc>
      </w:tr>
    </w:tbl>
    <w:p>
      <w:pPr>
        <w:spacing w:after="240"/>
      </w:pPr>
    </w:p>
    <w:p>
      <w:pPr>
        <w:spacing w:before="400" w:after="120"/>
      </w:pPr>
      <w:r>
        <w:rPr>
          <w:rFonts w:ascii="Consolas" w:hAnsi="Consolas"/>
          <w:b/>
          <w:color w:val="003366"/>
          <w:sz w:val="28"/>
        </w:rPr>
        <w:t>► TECHNOLOGY &amp; SECURITY INFRASTRUCTURE</w:t>
      </w:r>
    </w:p>
    <w:p>
      <w:pPr>
        <w:spacing w:after="160"/>
      </w:pPr>
      <w:r>
        <w:rPr>
          <w:rFonts w:ascii="Calibri" w:hAnsi="Calibri"/>
          <w:color w:val="1E1E1E"/>
          <w:sz w:val="22"/>
        </w:rPr>
        <w:t>Mandatory systems installed in every Franchise Lounge to enforce the 61% Gross Profit standard: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003366"/>
          <w:bottom w:val="single" w:sz="12" w:space="0" w:color="003366"/>
          <w:insideH w:val="single" w:sz="4" w:space="0" w:color="CCCCCC"/>
          <w:insideV w:val="single" w:sz="4" w:space="0" w:color="CCCCCC"/>
          <w:left w:val="single" w:sz="12" w:space="0" w:color="003366"/>
          <w:right w:val="single" w:sz="12" w:space="0" w:color="003366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System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Vendor / Spec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Consolas" w:hAnsi="Consolas"/>
                <w:b/>
                <w:color w:val="FFFFFF"/>
                <w:sz w:val="20"/>
              </w:rPr>
              <w:t>Operational Purpose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Smart POS &amp; Billing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PetPooja / Posist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Tracks 'Unlimited Package' time limits (Silver/Gold/Plat)</w:t>
            </w:r>
          </w:p>
        </w:tc>
      </w:tr>
      <w:tr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IoT Auto-Pourers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Berg / Exacta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Dispenses exact 60ml pegs; linked to POS to prevent bartender theft</w:t>
            </w:r>
          </w:p>
        </w:tc>
      </w:tr>
      <w:tr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RFID Wristbands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Custom NFC Tags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Customer entry/exit tracking and table assignments</w:t>
            </w:r>
          </w:p>
        </w:tc>
      </w:tr>
      <w:tr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AI Cloud CCTV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Hikvision / Wipro</w:t>
            </w:r>
          </w:p>
        </w:tc>
        <w:tc>
          <w:tcPr>
            <w:tcW w:type="dxa" w:w="2880"/>
            <w:shd w:fill="F0F5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3333"/>
                <w:sz w:val="20"/>
              </w:rPr>
              <w:t>16-Camera HD tracking Kitchen Pass &amp; Bar counter</w:t>
            </w:r>
          </w:p>
        </w:tc>
      </w:tr>
    </w:tbl>
    <w:p>
      <w:pPr>
        <w:spacing w:after="2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