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0F172A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20"/>
            </w:pPr>
            <w:r>
              <w:rPr>
                <w:b/>
                <w:color w:val="FBBF24"/>
                <w:sz w:val="17"/>
              </w:rPr>
              <w:t>EXECUTIVE INVESTMENT &amp; FRANCHISE OPPORTUNITY TEASER</w:t>
              <w:br/>
            </w:r>
            <w:r>
              <w:rPr>
                <w:b/>
                <w:color w:val="FFFFFF"/>
                <w:sz w:val="30"/>
              </w:rPr>
              <w:t>FERABEE LIQUOR — THE ROYAL BEE</w:t>
              <w:br/>
            </w:r>
            <w:r>
              <w:rPr>
                <w:color w:val="E2E8F0"/>
                <w:sz w:val="19"/>
              </w:rPr>
              <w:t>Scaling India's First Direct-to-Consumer Craft Spirits &amp; 367-Taluka Bee Lounge Network</w:t>
              <w:br/>
            </w:r>
            <w:r>
              <w:rPr>
                <w:color w:val="94A3B8"/>
                <w:sz w:val="16"/>
              </w:rPr>
              <w:t>Series-A Ask: ₹18.0 Cr (25% Equity)  |  Target Franchise Lounges: 367 Outlets  |  Exit Valuation: ₹288 Cr – ₹780 Cr (3.5x – 10.8x MOIC)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BBF24"/>
                <w:sz w:val="22"/>
              </w:rPr>
              <w:t>₹18.0 CRORE</w:t>
              <w:br/>
            </w:r>
            <w:r>
              <w:rPr>
                <w:color w:val="E2E8F0"/>
                <w:sz w:val="15"/>
              </w:rPr>
              <w:t>Series-A Equity Ask</w:t>
              <w:br/>
              <w:t>(Pre: ₹54Cr | Post: ₹72Cr)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BBF24"/>
                <w:sz w:val="22"/>
              </w:rPr>
              <w:t>367 TALUKAS</w:t>
              <w:br/>
            </w:r>
            <w:r>
              <w:rPr>
                <w:color w:val="E2E8F0"/>
                <w:sz w:val="15"/>
              </w:rPr>
              <w:t>Exclusive Network</w:t>
              <w:br/>
              <w:t>(355 MH + 12 Goa)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BBF24"/>
                <w:sz w:val="22"/>
              </w:rPr>
              <w:t>₹9.95L / MO</w:t>
              <w:br/>
            </w:r>
            <w:r>
              <w:rPr>
                <w:color w:val="E2E8F0"/>
                <w:sz w:val="15"/>
              </w:rPr>
              <w:t>Lounge Net Profit</w:t>
              <w:br/>
              <w:t>(12–18 Mo Payback)</w:t>
            </w:r>
          </w:p>
        </w:tc>
        <w:tc>
          <w:tcPr>
            <w:tcW w:type="dxa" w:w="252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  <w:jc w:val="center"/>
            </w:pPr>
            <w:r>
              <w:rPr>
                <w:b/>
                <w:color w:val="FBBF24"/>
                <w:sz w:val="22"/>
              </w:rPr>
              <w:t>3.5x – 10.8x</w:t>
              <w:br/>
            </w:r>
            <w:r>
              <w:rPr>
                <w:color w:val="E2E8F0"/>
                <w:sz w:val="15"/>
              </w:rPr>
              <w:t>Target Investor MOIC</w:t>
              <w:br/>
              <w:t>(36-Month Strategic Exit)</w:t>
            </w:r>
          </w:p>
        </w:tc>
      </w:tr>
    </w:tbl>
    <w:p>
      <w:pPr>
        <w:spacing w:before="120" w:after="40"/>
      </w:pPr>
      <w:r>
        <w:rPr>
          <w:b/>
          <w:color w:val="0F172A"/>
          <w:sz w:val="22"/>
        </w:rPr>
        <w:t>1. The Core Disruption &amp; Strategic Moat</w:t>
      </w:r>
    </w:p>
    <w:p>
      <w:r>
        <w:t>Traditional liquor brands spend 35-40% of revenues fighting distributor monopolies and paying extortionate retail shelf fees. FeraBee eliminates retail middlemen by pairing proprietary craft spirits with a captive, exclusive chain of 367 '100-Cover Bee Lounges' across Maharashtra and Goa. This guarantees captive annual off-take of 2,09,190 cases (1.88 Million Litres), capturing both manufacturer wholesale margins (15-35%) and recurring retail franchise royalties (6%).</w:t>
      </w:r>
    </w:p>
    <w:p>
      <w:pPr>
        <w:spacing w:before="80" w:after="40"/>
      </w:pPr>
      <w:r>
        <w:rPr>
          <w:b/>
          <w:color w:val="0F172A"/>
          <w:sz w:val="22"/>
        </w:rPr>
        <w:t>2. Proprietary Product Mix &amp; High-Margin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SKU Name</w:t>
            </w:r>
          </w:p>
        </w:tc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Category &amp; Alcohol Spec</w:t>
            </w:r>
          </w:p>
        </w:tc>
        <w:tc>
          <w:tcPr>
            <w:tcW w:type="dxa" w:w="1728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Packaging</w:t>
            </w:r>
          </w:p>
        </w:tc>
        <w:tc>
          <w:tcPr>
            <w:tcW w:type="dxa" w:w="115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MH Retail MRP</w:t>
            </w:r>
          </w:p>
        </w:tc>
        <w:tc>
          <w:tcPr>
            <w:tcW w:type="dxa" w:w="1008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COGS / Serving</w:t>
            </w:r>
          </w:p>
        </w:tc>
        <w:tc>
          <w:tcPr>
            <w:tcW w:type="dxa" w:w="1008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Gross Margin (%)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Reserve Whisky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42.8% Grain &amp; Malt, Honey Finish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Black Glass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₹2,200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₹35 / 60ml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80.5%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Pure Vodka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42.8% Triple-Distilled Grain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Clear Glass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₹1,900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₹22 / 60ml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85.3%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Botanical Gin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42.8% Artisanal Botanical Blend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Clear Glass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₹2,400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₹30 / 60ml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82.3%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Dark Rum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42.8% Aged Dark Molasses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Glass Bottle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₹1,700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₹25 / 60ml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82.1%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Crisp Lager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5.0% ABV Premium Craft Lager</w:t>
            </w:r>
          </w:p>
        </w:tc>
        <w:tc>
          <w:tcPr>
            <w:tcW w:type="dxa" w:w="172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650ml Btl / 500ml Can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₹250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₹55 / 500ml</w:t>
            </w:r>
          </w:p>
        </w:tc>
        <w:tc>
          <w:tcPr>
            <w:tcW w:type="dxa" w:w="10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69.4%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FeraBee Sparkling Wine</w:t>
            </w:r>
          </w:p>
        </w:tc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12.0% ABV Brut &amp; Rose</w:t>
            </w:r>
          </w:p>
        </w:tc>
        <w:tc>
          <w:tcPr>
            <w:tcW w:type="dxa" w:w="172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750ml Glass Bottle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₹1,500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₹90 / 150ml</w:t>
            </w:r>
          </w:p>
        </w:tc>
        <w:tc>
          <w:tcPr>
            <w:tcW w:type="dxa" w:w="10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64.0%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3. The 'Unlimited Prix-Fixe' Hospitality Engine</w:t>
      </w:r>
    </w:p>
    <w:p>
      <w:r>
        <w:t>Lounges operate under a compliant 'Prix-Fixe Culinary Experience with RFID Token Allocation' (Silver Hive ₹999 / Gold Bee ₹1,499 / Platinum ₹1,999). Enforced via IoT 60ml optic pourers and RFID wristbands, the concept drives exceptional footfall (150 guests/day), locking in 52% gross margin and full Maharashtra Prohibition Act compliance.</w:t>
      </w:r>
    </w:p>
    <w:p>
      <w:r>
        <w:br w:type="page"/>
      </w:r>
    </w:p>
    <w:p>
      <w:pPr>
        <w:spacing w:before="0" w:after="40"/>
      </w:pPr>
      <w:r>
        <w:rPr>
          <w:b/>
          <w:color w:val="0F172A"/>
          <w:sz w:val="22"/>
        </w:rPr>
        <w:t>4. Per-Lounge Unit Economics (Validated FOCO Model)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880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Monthly P&amp;L Head</w:t>
            </w:r>
          </w:p>
        </w:tc>
        <w:tc>
          <w:tcPr>
            <w:tcW w:type="dxa" w:w="2016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Monthly Amount (₹)</w:t>
            </w:r>
          </w:p>
        </w:tc>
        <w:tc>
          <w:tcPr>
            <w:tcW w:type="dxa" w:w="2016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Annualized Value (₹)</w:t>
            </w:r>
          </w:p>
        </w:tc>
        <w:tc>
          <w:tcPr>
            <w:tcW w:type="dxa" w:w="3168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Operational Driver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Gross Operating Revenue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₹50,86,770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₹6,10,41,240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105 Package + 45 A La Carte guests / day @ 26 days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Food &amp; Spirits COGS (48%)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₹24,41,650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₹2,92,99,800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Culinary raw materials &amp; proprietary FeraBee spirits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Gross Operating Profit (52%)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₹26,45,120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₹3,17,41,440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Healthy store-level cash gross margin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Store OPEX (Rent, Staff 22, Power)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₹15,00,000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₹1,80,000,000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Rent ₹4.5L, Payroll ₹5.5L, Power ₹1.5L, Tech/Mktg ₹2.0L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FL-III License Amortization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₹1,50,000</w:t>
            </w:r>
          </w:p>
        </w:tc>
        <w:tc>
          <w:tcPr>
            <w:tcW w:type="dxa" w:w="201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₹18,00,000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Monthly accrual for annual Maharashtra bar license</w:t>
            </w:r>
          </w:p>
        </w:tc>
      </w:tr>
      <w:tr>
        <w:tc>
          <w:tcPr>
            <w:tcW w:type="dxa" w:w="288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NET MONTHLY CASH PROFIT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₹9,95,120</w:t>
            </w:r>
          </w:p>
        </w:tc>
        <w:tc>
          <w:tcPr>
            <w:tcW w:type="dxa" w:w="201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₹1,19,41,440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Franchisee net cash flow (12.6–18.0 Month Payback)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5. 3-Year Consolidated Financial Projections &amp; Valuation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59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Consolidated Head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Year 1 (60 Outlets)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Year 2 (150 Outlets)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Year 3 Base (250 Outlets)</w:t>
            </w:r>
          </w:p>
        </w:tc>
        <w:tc>
          <w:tcPr>
            <w:tcW w:type="dxa" w:w="1872"/>
            <w:shd w:fill="1E293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Year 3 Bull (367 Outlets)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Franchise Royalty (6%)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₹9.18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₹25.20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₹46.00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₹67.60 Crore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Wholesale Supply Margin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₹7.20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₹16.20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₹28.00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₹40.00 Crore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Retail Off-Trade Sales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₹15.00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₹30.00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₹50.00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₹85.00 Crore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Franchise Fees (₹10L/unit)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₹6.00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₹9.00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₹10.00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₹11.70 Crore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TOTAL REVENUE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₹37.38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₹80.40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₹134.00 Crore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₹204.30 – ₹285.00 Cr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CONSOLIDATED EBITDA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₹10.00 Cr (26.7%)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₹23.00 Cr (28.6%)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₹36.00 Cr (26.9%)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₹78.00 Cr (38.2%)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ENTERPRISE VALUATION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₹80.0 Crore (8x)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₹184.0 Crore (8x)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₹288.0 Crore (8x)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₹780.0 Crore (10x)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Investor 25% Stake Value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₹20.0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₹46.0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₹72.0 Crore</w:t>
            </w:r>
          </w:p>
        </w:tc>
        <w:tc>
          <w:tcPr>
            <w:tcW w:type="dxa" w:w="187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₹195.0 Crore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b/>
                <w:color w:val="0F172A"/>
                <w:sz w:val="16"/>
              </w:rPr>
              <w:t>Investor MOIC (on ₹18 Cr)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1.11x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2.55x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4.00x</w:t>
            </w:r>
          </w:p>
        </w:tc>
        <w:tc>
          <w:tcPr>
            <w:tcW w:type="dxa" w:w="187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color w:val="334155"/>
                <w:sz w:val="16"/>
              </w:rPr>
              <w:t>10.83x (121% IRR)</w:t>
            </w:r>
          </w:p>
        </w:tc>
      </w:tr>
    </w:tbl>
    <w:p>
      <w:pPr>
        <w:spacing w:before="80" w:after="40"/>
      </w:pPr>
      <w:r>
        <w:rPr>
          <w:b/>
          <w:color w:val="0F172A"/>
          <w:sz w:val="22"/>
        </w:rPr>
        <w:t>6. Series-A ₹18.0 Cr Use of Funds &amp; Exit Strategy</w:t>
      </w:r>
    </w:p>
    <w:p>
      <w:r>
        <w:t>• Capital Allocation: Custom Moulds &amp; Tooling (₹4.20 Cr - 23.3%), 3 Flagship COCO Lounges (₹3.45 Cr - 19.2%), Working Capital &amp; Excise Security (₹3.00 Cr - 16.7%), Multi-State Licensing &amp; Labels (₹2.00 Cr - 11.1%), Launch Marketing (₹2.00 Cr - 11.1%), Team (₹1.20 Cr - 6.7%), Buffer (₹2.15 Cr - 11.9%).</w:t>
        <w:br/>
        <w:t>• Exit Mechanism: Strategic M&amp;A at Month 36 by Global Alcobev Conglomerates (Diageo, Pernod Ricard, AB InBev) or Pre-IPO Secondary Buyout at Month 24 at ₹300 Cr+ Valuation.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3C7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b/>
                <w:color w:val="D97706"/>
                <w:sz w:val="17"/>
              </w:rPr>
              <w:t>FERABEE LIQUOR PRIVATE LIMITED  |  CONFIDENTIAL INVESTMENT &amp; PARTNERSHIP DESK</w:t>
              <w:br/>
            </w:r>
            <w:r>
              <w:rPr>
                <w:color w:val="0F172A"/>
                <w:sz w:val="16"/>
              </w:rPr>
              <w:t>Headquarters: Pune, Maharashtra  |  Distillery Base: Goa  |  Email: contact@ferabee.com  |  Tel: +91 (020) 2600-XXXX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/>
      <w:color w:val="33415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