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280" w:type="dxa"/>
              <w:bottom w:w="280" w:type="dxa"/>
              <w:left w:w="280" w:type="dxa"/>
              <w:right w:w="280" w:type="dxa"/>
            </w:tcMar>
          </w:tcPr>
          <w:p>
            <w:pPr>
              <w:spacing w:after="40"/>
              <w:jc w:val="left"/>
            </w:pPr>
            <w:r>
              <w:rPr>
                <w:b/>
                <w:color w:val="FBBF24"/>
                <w:sz w:val="19"/>
              </w:rPr>
              <w:t>FRANCHISE OPPORTUNITY DOSSIER</w:t>
              <w:br/>
            </w:r>
            <w:r>
              <w:rPr>
                <w:b/>
                <w:color w:val="FFFFFF"/>
                <w:sz w:val="34"/>
              </w:rPr>
              <w:t>FERABEE BEE LOUNGE FRANCHISE PROSPECTUS</w:t>
              <w:br/>
              <w:t>&amp; COMMERCIAL PARTNERSHIP HANDBOOK</w:t>
              <w:br/>
            </w:r>
            <w:r>
              <w:rPr>
                <w:color w:val="E2E8F0"/>
                <w:sz w:val="22"/>
              </w:rPr>
              <w:t>Turnkey FOCO Hospitality Investment Opportunity Across 367 Talukas in Maharashtra &amp; Goa</w:t>
              <w:br/>
              <w:br/>
            </w:r>
            <w:r>
              <w:rPr>
                <w:color w:val="94A3B8"/>
                <w:sz w:val="17"/>
              </w:rPr>
              <w:t>Investment: ₹1.15 Cr – ₹1.25 Cr  |  Target Monthly Net Profit: ₹9.95L – ₹14.50L  |  Payback: 12.6 – 18.0 Months</w:t>
            </w:r>
          </w:p>
        </w:tc>
      </w:tr>
    </w:tbl>
    <w:p>
      <w:pPr>
        <w:keepNext/>
        <w:spacing w:before="360" w:after="120"/>
        <w:pBdr>
          <w:bottom w:val="single" w:sz="12" w:space="4" w:color="D97706"/>
        </w:pBdr>
      </w:pPr>
      <w:r>
        <w:rPr>
          <w:rFonts w:ascii="Calibri" w:hAnsi="Calibri"/>
          <w:b/>
          <w:color w:val="0F172A"/>
          <w:sz w:val="28"/>
        </w:rPr>
        <w:t>1. Executive Franchise Opportunity &amp; Brand Concept</w:t>
      </w:r>
    </w:p>
    <w:p>
      <w:r>
        <w:t>FeraBee Liquor Private Limited invites visionary entrepreneurs, real estate owners, and hospitality investors to partner in rolling out the most lucrative experiential food &amp; beverage concept in Western India: The FeraBee 'Bee Lounge'. Designed as a high-energy, 100-cover luxury destination (2,500 – 3,000 sq.ft), each lounge pairs our proprietary 6-SKU craft spirits portfolio with a high-yield 'Unlimited Prix-Fixe Dining &amp; Tasting' experience that consistently draws 150+ guests per day.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none"/>
              <w:left w:val="single" w:sz="24" w:color="10B981"/>
              <w:bottom w:val="none"/>
              <w:right w:val="none"/>
            </w:tcBorders>
          </w:tcPr>
          <w:p>
            <w:pPr>
              <w:spacing w:after="40"/>
            </w:pPr>
            <w:r>
              <w:rPr>
                <w:b/>
                <w:color w:val="047857"/>
                <w:sz w:val="19"/>
              </w:rPr>
              <w:t xml:space="preserve">★ THE FOCO PASSIVE ADVANTAGE: </w:t>
            </w:r>
            <w:r>
              <w:rPr>
                <w:color w:val="0F172A"/>
                <w:sz w:val="19"/>
              </w:rPr>
              <w:t>Why FOCO is the Winning Model for Franchisees: Under our Franchise Owned Company Operated (FOCO) model, you own the asset, license, and venue, while FeraBee Central Management operates the lounge with professional chefs, trained mixologists, POS IoT pourers, and central marketing. You enjoy completely passive, hands-free monthly cash flows of ₹9.95 Lakh to ₹14.50 Lakh with zero operational headaches.</w:t>
            </w:r>
          </w:p>
        </w:tc>
      </w:tr>
    </w:tbl>
    <w:p>
      <w:pPr>
        <w:keepNext/>
        <w:spacing w:before="360" w:after="120"/>
        <w:pBdr>
          <w:bottom w:val="single" w:sz="12" w:space="4" w:color="D97706"/>
        </w:pBdr>
      </w:pPr>
      <w:r>
        <w:rPr>
          <w:rFonts w:ascii="Calibri" w:hAnsi="Calibri"/>
          <w:b/>
          <w:color w:val="0F172A"/>
          <w:sz w:val="28"/>
        </w:rPr>
        <w:t>2. Initial Capital Expenditure &amp; Investment Breakdown</w:t>
      </w:r>
    </w:p>
    <w:p>
      <w:r>
        <w:t>The total setup investment for a 100-cover FeraBee Bee Lounge in Maharashtra is ₹1.15 Crore to ₹1.25 Crore (Goa locations: ~₹85 Lakh due to lower license fees):</w:t>
      </w:r>
    </w:p>
    <w:tbl>
      <w:tblPr>
        <w:tblW w:type="auto" w:w="0"/>
        <w:jc w:val="center"/>
        <w:tblLook w:firstColumn="1" w:firstRow="1" w:lastColumn="0" w:lastRow="0" w:noHBand="0" w:noVBand="1" w:val="04A0"/>
      </w:tblPr>
      <w:tblGrid>
        <w:gridCol w:w="2340"/>
        <w:gridCol w:w="2340"/>
        <w:gridCol w:w="2340"/>
        <w:gridCol w:w="2340"/>
      </w:tblGrid>
      <w:tr>
        <w:tc>
          <w:tcPr>
            <w:tcW w:type="dxa" w:w="2880"/>
            <w:shd w:fill="1E293B"/>
            <w:tcMar>
              <w:top w:w="100" w:type="dxa"/>
              <w:bottom w:w="100" w:type="dxa"/>
              <w:left w:w="120" w:type="dxa"/>
              <w:right w:w="120" w:type="dxa"/>
            </w:tcMar>
          </w:tcPr>
          <w:p>
            <w:pPr>
              <w:jc w:val="left"/>
            </w:pPr>
            <w:r>
              <w:rPr>
                <w:b/>
                <w:color w:val="FFFFFF"/>
                <w:sz w:val="18"/>
              </w:rPr>
              <w:t>Capex Head</w:t>
            </w:r>
          </w:p>
        </w:tc>
        <w:tc>
          <w:tcPr>
            <w:tcW w:type="dxa" w:w="1728"/>
            <w:shd w:fill="1E293B"/>
            <w:tcMar>
              <w:top w:w="100" w:type="dxa"/>
              <w:bottom w:w="100" w:type="dxa"/>
              <w:left w:w="120" w:type="dxa"/>
              <w:right w:w="120" w:type="dxa"/>
            </w:tcMar>
          </w:tcPr>
          <w:p>
            <w:pPr>
              <w:jc w:val="left"/>
            </w:pPr>
            <w:r>
              <w:rPr>
                <w:b/>
                <w:color w:val="FFFFFF"/>
                <w:sz w:val="18"/>
              </w:rPr>
              <w:t>Amount (₹)</w:t>
            </w:r>
          </w:p>
        </w:tc>
        <w:tc>
          <w:tcPr>
            <w:tcW w:type="dxa" w:w="1152"/>
            <w:shd w:fill="1E293B"/>
            <w:tcMar>
              <w:top w:w="100" w:type="dxa"/>
              <w:bottom w:w="100" w:type="dxa"/>
              <w:left w:w="120" w:type="dxa"/>
              <w:right w:w="120" w:type="dxa"/>
            </w:tcMar>
          </w:tcPr>
          <w:p>
            <w:pPr>
              <w:jc w:val="left"/>
            </w:pPr>
            <w:r>
              <w:rPr>
                <w:b/>
                <w:color w:val="FFFFFF"/>
                <w:sz w:val="18"/>
              </w:rPr>
              <w:t>Share (%)</w:t>
            </w:r>
          </w:p>
        </w:tc>
        <w:tc>
          <w:tcPr>
            <w:tcW w:type="dxa" w:w="4608"/>
            <w:shd w:fill="1E293B"/>
            <w:tcMar>
              <w:top w:w="100" w:type="dxa"/>
              <w:bottom w:w="100" w:type="dxa"/>
              <w:left w:w="120" w:type="dxa"/>
              <w:right w:w="120" w:type="dxa"/>
            </w:tcMar>
          </w:tcPr>
          <w:p>
            <w:pPr>
              <w:jc w:val="left"/>
            </w:pPr>
            <w:r>
              <w:rPr>
                <w:b/>
                <w:color w:val="FFFFFF"/>
                <w:sz w:val="18"/>
              </w:rPr>
              <w:t>Specifications &amp; Deliverables</w:t>
            </w:r>
          </w:p>
        </w:tc>
      </w:tr>
      <w:tr>
        <w:tc>
          <w:tcPr>
            <w:tcW w:type="dxa" w:w="2880"/>
            <w:shd w:fill="FFFFFF"/>
            <w:tcMar>
              <w:top w:w="80" w:type="dxa"/>
              <w:bottom w:w="80" w:type="dxa"/>
              <w:left w:w="120" w:type="dxa"/>
              <w:right w:w="120" w:type="dxa"/>
            </w:tcMar>
          </w:tcPr>
          <w:p>
            <w:pPr>
              <w:spacing w:after="0"/>
            </w:pPr>
            <w:r>
              <w:rPr>
                <w:b/>
                <w:color w:val="0F172A"/>
                <w:sz w:val="17"/>
              </w:rPr>
              <w:t>Interior Fit-Out, Furniture &amp; Civil</w:t>
            </w:r>
          </w:p>
        </w:tc>
        <w:tc>
          <w:tcPr>
            <w:tcW w:type="dxa" w:w="1728"/>
            <w:shd w:fill="FFFFFF"/>
            <w:tcMar>
              <w:top w:w="80" w:type="dxa"/>
              <w:bottom w:w="80" w:type="dxa"/>
              <w:left w:w="120" w:type="dxa"/>
              <w:right w:w="120" w:type="dxa"/>
            </w:tcMar>
          </w:tcPr>
          <w:p>
            <w:pPr>
              <w:spacing w:after="0"/>
            </w:pPr>
            <w:r>
              <w:rPr>
                <w:color w:val="334155"/>
                <w:sz w:val="17"/>
              </w:rPr>
              <w:t>₹38,00,000</w:t>
            </w:r>
          </w:p>
        </w:tc>
        <w:tc>
          <w:tcPr>
            <w:tcW w:type="dxa" w:w="1152"/>
            <w:shd w:fill="FFFFFF"/>
            <w:tcMar>
              <w:top w:w="80" w:type="dxa"/>
              <w:bottom w:w="80" w:type="dxa"/>
              <w:left w:w="120" w:type="dxa"/>
              <w:right w:w="120" w:type="dxa"/>
            </w:tcMar>
          </w:tcPr>
          <w:p>
            <w:pPr>
              <w:spacing w:after="0"/>
            </w:pPr>
            <w:r>
              <w:rPr>
                <w:color w:val="334155"/>
                <w:sz w:val="17"/>
              </w:rPr>
              <w:t>30.4%</w:t>
            </w:r>
          </w:p>
        </w:tc>
        <w:tc>
          <w:tcPr>
            <w:tcW w:type="dxa" w:w="4608"/>
            <w:shd w:fill="FFFFFF"/>
            <w:tcMar>
              <w:top w:w="80" w:type="dxa"/>
              <w:bottom w:w="80" w:type="dxa"/>
              <w:left w:w="120" w:type="dxa"/>
              <w:right w:w="120" w:type="dxa"/>
            </w:tcMar>
          </w:tcPr>
          <w:p>
            <w:pPr>
              <w:spacing w:after="0"/>
            </w:pPr>
            <w:r>
              <w:rPr>
                <w:color w:val="334155"/>
                <w:sz w:val="17"/>
              </w:rPr>
              <w:t>Black marble floor, Gold 3D Honeycomb wall, Hex LED lighting, acoustic sound.</w:t>
            </w:r>
          </w:p>
        </w:tc>
      </w:tr>
      <w:tr>
        <w:tc>
          <w:tcPr>
            <w:tcW w:type="dxa" w:w="2880"/>
            <w:shd w:fill="F8FAFC"/>
            <w:tcMar>
              <w:top w:w="80" w:type="dxa"/>
              <w:bottom w:w="80" w:type="dxa"/>
              <w:left w:w="120" w:type="dxa"/>
              <w:right w:w="120" w:type="dxa"/>
            </w:tcMar>
          </w:tcPr>
          <w:p>
            <w:pPr>
              <w:spacing w:after="0"/>
            </w:pPr>
            <w:r>
              <w:rPr>
                <w:b/>
                <w:color w:val="0F172A"/>
                <w:sz w:val="17"/>
              </w:rPr>
              <w:t>Kitchen &amp; Bar Equipment</w:t>
            </w:r>
          </w:p>
        </w:tc>
        <w:tc>
          <w:tcPr>
            <w:tcW w:type="dxa" w:w="1728"/>
            <w:shd w:fill="F8FAFC"/>
            <w:tcMar>
              <w:top w:w="80" w:type="dxa"/>
              <w:bottom w:w="80" w:type="dxa"/>
              <w:left w:w="120" w:type="dxa"/>
              <w:right w:w="120" w:type="dxa"/>
            </w:tcMar>
          </w:tcPr>
          <w:p>
            <w:pPr>
              <w:spacing w:after="0"/>
            </w:pPr>
            <w:r>
              <w:rPr>
                <w:color w:val="334155"/>
                <w:sz w:val="17"/>
              </w:rPr>
              <w:t>₹22,00,000</w:t>
            </w:r>
          </w:p>
        </w:tc>
        <w:tc>
          <w:tcPr>
            <w:tcW w:type="dxa" w:w="1152"/>
            <w:shd w:fill="F8FAFC"/>
            <w:tcMar>
              <w:top w:w="80" w:type="dxa"/>
              <w:bottom w:w="80" w:type="dxa"/>
              <w:left w:w="120" w:type="dxa"/>
              <w:right w:w="120" w:type="dxa"/>
            </w:tcMar>
          </w:tcPr>
          <w:p>
            <w:pPr>
              <w:spacing w:after="0"/>
            </w:pPr>
            <w:r>
              <w:rPr>
                <w:color w:val="334155"/>
                <w:sz w:val="17"/>
              </w:rPr>
              <w:t>17.6%</w:t>
            </w:r>
          </w:p>
        </w:tc>
        <w:tc>
          <w:tcPr>
            <w:tcW w:type="dxa" w:w="4608"/>
            <w:shd w:fill="F8FAFC"/>
            <w:tcMar>
              <w:top w:w="80" w:type="dxa"/>
              <w:bottom w:w="80" w:type="dxa"/>
              <w:left w:w="120" w:type="dxa"/>
              <w:right w:w="120" w:type="dxa"/>
            </w:tcMar>
          </w:tcPr>
          <w:p>
            <w:pPr>
              <w:spacing w:after="0"/>
            </w:pPr>
            <w:r>
              <w:rPr>
                <w:color w:val="334155"/>
                <w:sz w:val="17"/>
              </w:rPr>
              <w:t>Heavy-duty commercial kitchen, cold room, keg chillers, 12 IoT RFID optic pourers.</w:t>
            </w:r>
          </w:p>
        </w:tc>
      </w:tr>
      <w:tr>
        <w:tc>
          <w:tcPr>
            <w:tcW w:type="dxa" w:w="2880"/>
            <w:shd w:fill="FFFFFF"/>
            <w:tcMar>
              <w:top w:w="80" w:type="dxa"/>
              <w:bottom w:w="80" w:type="dxa"/>
              <w:left w:w="120" w:type="dxa"/>
              <w:right w:w="120" w:type="dxa"/>
            </w:tcMar>
          </w:tcPr>
          <w:p>
            <w:pPr>
              <w:spacing w:after="0"/>
            </w:pPr>
            <w:r>
              <w:rPr>
                <w:b/>
                <w:color w:val="0F172A"/>
                <w:sz w:val="17"/>
              </w:rPr>
              <w:t>FL-III Hotel/Restaurant Bar License</w:t>
            </w:r>
          </w:p>
        </w:tc>
        <w:tc>
          <w:tcPr>
            <w:tcW w:type="dxa" w:w="1728"/>
            <w:shd w:fill="FFFFFF"/>
            <w:tcMar>
              <w:top w:w="80" w:type="dxa"/>
              <w:bottom w:w="80" w:type="dxa"/>
              <w:left w:w="120" w:type="dxa"/>
              <w:right w:w="120" w:type="dxa"/>
            </w:tcMar>
          </w:tcPr>
          <w:p>
            <w:pPr>
              <w:spacing w:after="0"/>
            </w:pPr>
            <w:r>
              <w:rPr>
                <w:color w:val="334155"/>
                <w:sz w:val="17"/>
              </w:rPr>
              <w:t>₹25,00,000</w:t>
            </w:r>
          </w:p>
        </w:tc>
        <w:tc>
          <w:tcPr>
            <w:tcW w:type="dxa" w:w="1152"/>
            <w:shd w:fill="FFFFFF"/>
            <w:tcMar>
              <w:top w:w="80" w:type="dxa"/>
              <w:bottom w:w="80" w:type="dxa"/>
              <w:left w:w="120" w:type="dxa"/>
              <w:right w:w="120" w:type="dxa"/>
            </w:tcMar>
          </w:tcPr>
          <w:p>
            <w:pPr>
              <w:spacing w:after="0"/>
            </w:pPr>
            <w:r>
              <w:rPr>
                <w:color w:val="334155"/>
                <w:sz w:val="17"/>
              </w:rPr>
              <w:t>20.0%</w:t>
            </w:r>
          </w:p>
        </w:tc>
        <w:tc>
          <w:tcPr>
            <w:tcW w:type="dxa" w:w="4608"/>
            <w:shd w:fill="FFFFFF"/>
            <w:tcMar>
              <w:top w:w="80" w:type="dxa"/>
              <w:bottom w:w="80" w:type="dxa"/>
              <w:left w:w="120" w:type="dxa"/>
              <w:right w:w="120" w:type="dxa"/>
            </w:tcMar>
          </w:tcPr>
          <w:p>
            <w:pPr>
              <w:spacing w:after="0"/>
            </w:pPr>
            <w:r>
              <w:rPr>
                <w:color w:val="334155"/>
                <w:sz w:val="17"/>
              </w:rPr>
              <w:t>Maharashtra FL-III annual fee, excise security deposit, and municipal eating house NOC.</w:t>
            </w:r>
          </w:p>
        </w:tc>
      </w:tr>
      <w:tr>
        <w:tc>
          <w:tcPr>
            <w:tcW w:type="dxa" w:w="2880"/>
            <w:shd w:fill="F8FAFC"/>
            <w:tcMar>
              <w:top w:w="80" w:type="dxa"/>
              <w:bottom w:w="80" w:type="dxa"/>
              <w:left w:w="120" w:type="dxa"/>
              <w:right w:w="120" w:type="dxa"/>
            </w:tcMar>
          </w:tcPr>
          <w:p>
            <w:pPr>
              <w:spacing w:after="0"/>
            </w:pPr>
            <w:r>
              <w:rPr>
                <w:b/>
                <w:color w:val="0F172A"/>
                <w:sz w:val="17"/>
              </w:rPr>
              <w:t>Initial Opening Stock &amp; Spirits</w:t>
            </w:r>
          </w:p>
        </w:tc>
        <w:tc>
          <w:tcPr>
            <w:tcW w:type="dxa" w:w="1728"/>
            <w:shd w:fill="F8FAFC"/>
            <w:tcMar>
              <w:top w:w="80" w:type="dxa"/>
              <w:bottom w:w="80" w:type="dxa"/>
              <w:left w:w="120" w:type="dxa"/>
              <w:right w:w="120" w:type="dxa"/>
            </w:tcMar>
          </w:tcPr>
          <w:p>
            <w:pPr>
              <w:spacing w:after="0"/>
            </w:pPr>
            <w:r>
              <w:rPr>
                <w:color w:val="334155"/>
                <w:sz w:val="17"/>
              </w:rPr>
              <w:t>₹12,00,000</w:t>
            </w:r>
          </w:p>
        </w:tc>
        <w:tc>
          <w:tcPr>
            <w:tcW w:type="dxa" w:w="1152"/>
            <w:shd w:fill="F8FAFC"/>
            <w:tcMar>
              <w:top w:w="80" w:type="dxa"/>
              <w:bottom w:w="80" w:type="dxa"/>
              <w:left w:w="120" w:type="dxa"/>
              <w:right w:w="120" w:type="dxa"/>
            </w:tcMar>
          </w:tcPr>
          <w:p>
            <w:pPr>
              <w:spacing w:after="0"/>
            </w:pPr>
            <w:r>
              <w:rPr>
                <w:color w:val="334155"/>
                <w:sz w:val="17"/>
              </w:rPr>
              <w:t>9.6%</w:t>
            </w:r>
          </w:p>
        </w:tc>
        <w:tc>
          <w:tcPr>
            <w:tcW w:type="dxa" w:w="4608"/>
            <w:shd w:fill="F8FAFC"/>
            <w:tcMar>
              <w:top w:w="80" w:type="dxa"/>
              <w:bottom w:w="80" w:type="dxa"/>
              <w:left w:w="120" w:type="dxa"/>
              <w:right w:w="120" w:type="dxa"/>
            </w:tcMar>
          </w:tcPr>
          <w:p>
            <w:pPr>
              <w:spacing w:after="0"/>
            </w:pPr>
            <w:r>
              <w:rPr>
                <w:color w:val="334155"/>
                <w:sz w:val="17"/>
              </w:rPr>
              <w:t>Opening inventory of FeraBee Whisky, Vodka, Gin, Rum, Beer kegs, and culinary stock.</w:t>
            </w:r>
          </w:p>
        </w:tc>
      </w:tr>
      <w:tr>
        <w:tc>
          <w:tcPr>
            <w:tcW w:type="dxa" w:w="2880"/>
            <w:shd w:fill="FFFFFF"/>
            <w:tcMar>
              <w:top w:w="80" w:type="dxa"/>
              <w:bottom w:w="80" w:type="dxa"/>
              <w:left w:w="120" w:type="dxa"/>
              <w:right w:w="120" w:type="dxa"/>
            </w:tcMar>
          </w:tcPr>
          <w:p>
            <w:pPr>
              <w:spacing w:after="0"/>
            </w:pPr>
            <w:r>
              <w:rPr>
                <w:b/>
                <w:color w:val="0F172A"/>
                <w:sz w:val="17"/>
              </w:rPr>
              <w:t>One-Time Franchise Onboarding Fee</w:t>
            </w:r>
          </w:p>
        </w:tc>
        <w:tc>
          <w:tcPr>
            <w:tcW w:type="dxa" w:w="1728"/>
            <w:shd w:fill="FFFFFF"/>
            <w:tcMar>
              <w:top w:w="80" w:type="dxa"/>
              <w:bottom w:w="80" w:type="dxa"/>
              <w:left w:w="120" w:type="dxa"/>
              <w:right w:w="120" w:type="dxa"/>
            </w:tcMar>
          </w:tcPr>
          <w:p>
            <w:pPr>
              <w:spacing w:after="0"/>
            </w:pPr>
            <w:r>
              <w:rPr>
                <w:color w:val="334155"/>
                <w:sz w:val="17"/>
              </w:rPr>
              <w:t>₹10,00,000</w:t>
            </w:r>
          </w:p>
        </w:tc>
        <w:tc>
          <w:tcPr>
            <w:tcW w:type="dxa" w:w="1152"/>
            <w:shd w:fill="FFFFFF"/>
            <w:tcMar>
              <w:top w:w="80" w:type="dxa"/>
              <w:bottom w:w="80" w:type="dxa"/>
              <w:left w:w="120" w:type="dxa"/>
              <w:right w:w="120" w:type="dxa"/>
            </w:tcMar>
          </w:tcPr>
          <w:p>
            <w:pPr>
              <w:spacing w:after="0"/>
            </w:pPr>
            <w:r>
              <w:rPr>
                <w:color w:val="334155"/>
                <w:sz w:val="17"/>
              </w:rPr>
              <w:t>8.0%</w:t>
            </w:r>
          </w:p>
        </w:tc>
        <w:tc>
          <w:tcPr>
            <w:tcW w:type="dxa" w:w="4608"/>
            <w:shd w:fill="FFFFFF"/>
            <w:tcMar>
              <w:top w:w="80" w:type="dxa"/>
              <w:bottom w:w="80" w:type="dxa"/>
              <w:left w:w="120" w:type="dxa"/>
              <w:right w:w="120" w:type="dxa"/>
            </w:tcMar>
          </w:tcPr>
          <w:p>
            <w:pPr>
              <w:spacing w:after="0"/>
            </w:pPr>
            <w:r>
              <w:rPr>
                <w:color w:val="334155"/>
                <w:sz w:val="17"/>
              </w:rPr>
              <w:t>Exclusive 15km Taluka territory rights, 5-year renewable operating agreement.</w:t>
            </w:r>
          </w:p>
        </w:tc>
      </w:tr>
      <w:tr>
        <w:tc>
          <w:tcPr>
            <w:tcW w:type="dxa" w:w="2880"/>
            <w:shd w:fill="F8FAFC"/>
            <w:tcMar>
              <w:top w:w="80" w:type="dxa"/>
              <w:bottom w:w="80" w:type="dxa"/>
              <w:left w:w="120" w:type="dxa"/>
              <w:right w:w="120" w:type="dxa"/>
            </w:tcMar>
          </w:tcPr>
          <w:p>
            <w:pPr>
              <w:spacing w:after="0"/>
            </w:pPr>
            <w:r>
              <w:rPr>
                <w:b/>
                <w:color w:val="0F172A"/>
                <w:sz w:val="17"/>
              </w:rPr>
              <w:t>Working Capital Reserve &amp; Rental Deposit</w:t>
            </w:r>
          </w:p>
        </w:tc>
        <w:tc>
          <w:tcPr>
            <w:tcW w:type="dxa" w:w="1728"/>
            <w:shd w:fill="F8FAFC"/>
            <w:tcMar>
              <w:top w:w="80" w:type="dxa"/>
              <w:bottom w:w="80" w:type="dxa"/>
              <w:left w:w="120" w:type="dxa"/>
              <w:right w:w="120" w:type="dxa"/>
            </w:tcMar>
          </w:tcPr>
          <w:p>
            <w:pPr>
              <w:spacing w:after="0"/>
            </w:pPr>
            <w:r>
              <w:rPr>
                <w:color w:val="334155"/>
                <w:sz w:val="17"/>
              </w:rPr>
              <w:t>₹18,00,000</w:t>
            </w:r>
          </w:p>
        </w:tc>
        <w:tc>
          <w:tcPr>
            <w:tcW w:type="dxa" w:w="1152"/>
            <w:shd w:fill="F8FAFC"/>
            <w:tcMar>
              <w:top w:w="80" w:type="dxa"/>
              <w:bottom w:w="80" w:type="dxa"/>
              <w:left w:w="120" w:type="dxa"/>
              <w:right w:w="120" w:type="dxa"/>
            </w:tcMar>
          </w:tcPr>
          <w:p>
            <w:pPr>
              <w:spacing w:after="0"/>
            </w:pPr>
            <w:r>
              <w:rPr>
                <w:color w:val="334155"/>
                <w:sz w:val="17"/>
              </w:rPr>
              <w:t>14.4%</w:t>
            </w:r>
          </w:p>
        </w:tc>
        <w:tc>
          <w:tcPr>
            <w:tcW w:type="dxa" w:w="4608"/>
            <w:shd w:fill="F8FAFC"/>
            <w:tcMar>
              <w:top w:w="80" w:type="dxa"/>
              <w:bottom w:w="80" w:type="dxa"/>
              <w:left w:w="120" w:type="dxa"/>
              <w:right w:w="120" w:type="dxa"/>
            </w:tcMar>
          </w:tcPr>
          <w:p>
            <w:pPr>
              <w:spacing w:after="0"/>
            </w:pPr>
            <w:r>
              <w:rPr>
                <w:color w:val="334155"/>
                <w:sz w:val="17"/>
              </w:rPr>
              <w:t>3-month landlord rent deposit, utility deposits, and initial working capital runway.</w:t>
            </w:r>
          </w:p>
        </w:tc>
      </w:tr>
      <w:tr>
        <w:tc>
          <w:tcPr>
            <w:tcW w:type="dxa" w:w="2880"/>
            <w:shd w:fill="FFFFFF"/>
            <w:tcMar>
              <w:top w:w="80" w:type="dxa"/>
              <w:bottom w:w="80" w:type="dxa"/>
              <w:left w:w="120" w:type="dxa"/>
              <w:right w:w="120" w:type="dxa"/>
            </w:tcMar>
          </w:tcPr>
          <w:p>
            <w:pPr>
              <w:spacing w:after="0"/>
            </w:pPr>
            <w:r>
              <w:rPr>
                <w:b/>
                <w:color w:val="0F172A"/>
                <w:sz w:val="17"/>
              </w:rPr>
              <w:t>TOTAL FRANCHISE INVESTMENT</w:t>
            </w:r>
          </w:p>
        </w:tc>
        <w:tc>
          <w:tcPr>
            <w:tcW w:type="dxa" w:w="1728"/>
            <w:shd w:fill="FFFFFF"/>
            <w:tcMar>
              <w:top w:w="80" w:type="dxa"/>
              <w:bottom w:w="80" w:type="dxa"/>
              <w:left w:w="120" w:type="dxa"/>
              <w:right w:w="120" w:type="dxa"/>
            </w:tcMar>
          </w:tcPr>
          <w:p>
            <w:pPr>
              <w:spacing w:after="0"/>
            </w:pPr>
            <w:r>
              <w:rPr>
                <w:color w:val="334155"/>
                <w:sz w:val="17"/>
              </w:rPr>
              <w:t>₹1,25,00,000</w:t>
            </w:r>
          </w:p>
        </w:tc>
        <w:tc>
          <w:tcPr>
            <w:tcW w:type="dxa" w:w="1152"/>
            <w:shd w:fill="FFFFFF"/>
            <w:tcMar>
              <w:top w:w="80" w:type="dxa"/>
              <w:bottom w:w="80" w:type="dxa"/>
              <w:left w:w="120" w:type="dxa"/>
              <w:right w:w="120" w:type="dxa"/>
            </w:tcMar>
          </w:tcPr>
          <w:p>
            <w:pPr>
              <w:spacing w:after="0"/>
            </w:pPr>
            <w:r>
              <w:rPr>
                <w:color w:val="334155"/>
                <w:sz w:val="17"/>
              </w:rPr>
              <w:t>100.0%</w:t>
            </w:r>
          </w:p>
        </w:tc>
        <w:tc>
          <w:tcPr>
            <w:tcW w:type="dxa" w:w="4608"/>
            <w:shd w:fill="FFFFFF"/>
            <w:tcMar>
              <w:top w:w="80" w:type="dxa"/>
              <w:bottom w:w="80" w:type="dxa"/>
              <w:left w:w="120" w:type="dxa"/>
              <w:right w:w="120" w:type="dxa"/>
            </w:tcMar>
          </w:tcPr>
          <w:p>
            <w:pPr>
              <w:spacing w:after="0"/>
            </w:pPr>
            <w:r>
              <w:rPr>
                <w:color w:val="334155"/>
                <w:sz w:val="17"/>
              </w:rPr>
              <w:t>Complete 100% turnkey setup ready for grand opening on Day 90.</w:t>
            </w:r>
          </w:p>
        </w:tc>
      </w:tr>
    </w:tbl>
    <w:p>
      <w:pPr>
        <w:keepNext/>
        <w:spacing w:before="360" w:after="120"/>
        <w:pBdr>
          <w:bottom w:val="single" w:sz="12" w:space="4" w:color="D97706"/>
        </w:pBdr>
      </w:pPr>
      <w:r>
        <w:rPr>
          <w:rFonts w:ascii="Calibri" w:hAnsi="Calibri"/>
          <w:b/>
          <w:color w:val="0F172A"/>
          <w:sz w:val="28"/>
        </w:rPr>
        <w:t>3. Per-Lounge Monthly Economics &amp; Return on Investment</w:t>
      </w:r>
    </w:p>
    <w:p>
      <w:r>
        <w:t>A detailed breakdown of monthly financial performance for an active FeraBee Bee Lounge running lunch and dinner services (26 days/month):</w:t>
      </w:r>
    </w:p>
    <w:tbl>
      <w:tblPr>
        <w:tblW w:type="auto" w:w="0"/>
        <w:jc w:val="center"/>
        <w:tblLook w:firstColumn="1" w:firstRow="1" w:lastColumn="0" w:lastRow="0" w:noHBand="0" w:noVBand="1" w:val="04A0"/>
      </w:tblPr>
      <w:tblGrid>
        <w:gridCol w:w="2340"/>
        <w:gridCol w:w="2340"/>
        <w:gridCol w:w="2340"/>
        <w:gridCol w:w="2340"/>
      </w:tblGrid>
      <w:tr>
        <w:tc>
          <w:tcPr>
            <w:tcW w:type="dxa" w:w="2880"/>
            <w:shd w:fill="1E293B"/>
            <w:tcMar>
              <w:top w:w="100" w:type="dxa"/>
              <w:bottom w:w="100" w:type="dxa"/>
              <w:left w:w="120" w:type="dxa"/>
              <w:right w:w="120" w:type="dxa"/>
            </w:tcMar>
          </w:tcPr>
          <w:p>
            <w:pPr>
              <w:jc w:val="left"/>
            </w:pPr>
            <w:r>
              <w:rPr>
                <w:b/>
                <w:color w:val="FFFFFF"/>
                <w:sz w:val="18"/>
              </w:rPr>
              <w:t>P&amp;L Item Category</w:t>
            </w:r>
          </w:p>
        </w:tc>
        <w:tc>
          <w:tcPr>
            <w:tcW w:type="dxa" w:w="1872"/>
            <w:shd w:fill="1E293B"/>
            <w:tcMar>
              <w:top w:w="100" w:type="dxa"/>
              <w:bottom w:w="100" w:type="dxa"/>
              <w:left w:w="120" w:type="dxa"/>
              <w:right w:w="120" w:type="dxa"/>
            </w:tcMar>
          </w:tcPr>
          <w:p>
            <w:pPr>
              <w:jc w:val="left"/>
            </w:pPr>
            <w:r>
              <w:rPr>
                <w:b/>
                <w:color w:val="FFFFFF"/>
                <w:sz w:val="18"/>
              </w:rPr>
              <w:t>Monthly Amount (₹)</w:t>
            </w:r>
          </w:p>
        </w:tc>
        <w:tc>
          <w:tcPr>
            <w:tcW w:type="dxa" w:w="1296"/>
            <w:shd w:fill="1E293B"/>
            <w:tcMar>
              <w:top w:w="100" w:type="dxa"/>
              <w:bottom w:w="100" w:type="dxa"/>
              <w:left w:w="120" w:type="dxa"/>
              <w:right w:w="120" w:type="dxa"/>
            </w:tcMar>
          </w:tcPr>
          <w:p>
            <w:pPr>
              <w:jc w:val="left"/>
            </w:pPr>
            <w:r>
              <w:rPr>
                <w:b/>
                <w:color w:val="FFFFFF"/>
                <w:sz w:val="18"/>
              </w:rPr>
              <w:t>Share (%)</w:t>
            </w:r>
          </w:p>
        </w:tc>
        <w:tc>
          <w:tcPr>
            <w:tcW w:type="dxa" w:w="4320"/>
            <w:shd w:fill="1E293B"/>
            <w:tcMar>
              <w:top w:w="100" w:type="dxa"/>
              <w:bottom w:w="100" w:type="dxa"/>
              <w:left w:w="120" w:type="dxa"/>
              <w:right w:w="120" w:type="dxa"/>
            </w:tcMar>
          </w:tcPr>
          <w:p>
            <w:pPr>
              <w:jc w:val="left"/>
            </w:pPr>
            <w:r>
              <w:rPr>
                <w:b/>
                <w:color w:val="FFFFFF"/>
                <w:sz w:val="18"/>
              </w:rPr>
              <w:t>Operational Rationale</w:t>
            </w:r>
          </w:p>
        </w:tc>
      </w:tr>
      <w:tr>
        <w:tc>
          <w:tcPr>
            <w:tcW w:type="dxa" w:w="2880"/>
            <w:shd w:fill="FFFFFF"/>
            <w:tcMar>
              <w:top w:w="80" w:type="dxa"/>
              <w:bottom w:w="80" w:type="dxa"/>
              <w:left w:w="120" w:type="dxa"/>
              <w:right w:w="120" w:type="dxa"/>
            </w:tcMar>
          </w:tcPr>
          <w:p>
            <w:pPr>
              <w:spacing w:after="0"/>
            </w:pPr>
            <w:r>
              <w:rPr>
                <w:b/>
                <w:color w:val="0F172A"/>
                <w:sz w:val="17"/>
              </w:rPr>
              <w:t>Unlimited Package Sales (₹1,499 avg)</w:t>
            </w:r>
          </w:p>
        </w:tc>
        <w:tc>
          <w:tcPr>
            <w:tcW w:type="dxa" w:w="1872"/>
            <w:shd w:fill="FFFFFF"/>
            <w:tcMar>
              <w:top w:w="80" w:type="dxa"/>
              <w:bottom w:w="80" w:type="dxa"/>
              <w:left w:w="120" w:type="dxa"/>
              <w:right w:w="120" w:type="dxa"/>
            </w:tcMar>
          </w:tcPr>
          <w:p>
            <w:pPr>
              <w:spacing w:after="0"/>
            </w:pPr>
            <w:r>
              <w:rPr>
                <w:color w:val="334155"/>
                <w:sz w:val="17"/>
              </w:rPr>
              <w:t>₹40,92,270</w:t>
            </w:r>
          </w:p>
        </w:tc>
        <w:tc>
          <w:tcPr>
            <w:tcW w:type="dxa" w:w="1296"/>
            <w:shd w:fill="FFFFFF"/>
            <w:tcMar>
              <w:top w:w="80" w:type="dxa"/>
              <w:bottom w:w="80" w:type="dxa"/>
              <w:left w:w="120" w:type="dxa"/>
              <w:right w:w="120" w:type="dxa"/>
            </w:tcMar>
          </w:tcPr>
          <w:p>
            <w:pPr>
              <w:spacing w:after="0"/>
            </w:pPr>
            <w:r>
              <w:rPr>
                <w:color w:val="334155"/>
                <w:sz w:val="17"/>
              </w:rPr>
              <w:t>80.4%</w:t>
            </w:r>
          </w:p>
        </w:tc>
        <w:tc>
          <w:tcPr>
            <w:tcW w:type="dxa" w:w="4320"/>
            <w:shd w:fill="FFFFFF"/>
            <w:tcMar>
              <w:top w:w="80" w:type="dxa"/>
              <w:bottom w:w="80" w:type="dxa"/>
              <w:left w:w="120" w:type="dxa"/>
              <w:right w:w="120" w:type="dxa"/>
            </w:tcMar>
          </w:tcPr>
          <w:p>
            <w:pPr>
              <w:spacing w:after="0"/>
            </w:pPr>
            <w:r>
              <w:rPr>
                <w:color w:val="334155"/>
                <w:sz w:val="17"/>
              </w:rPr>
              <w:t>105 guests/day × ₹1,499 ticket × 26 operating days.</w:t>
            </w:r>
          </w:p>
        </w:tc>
      </w:tr>
      <w:tr>
        <w:tc>
          <w:tcPr>
            <w:tcW w:type="dxa" w:w="2880"/>
            <w:shd w:fill="F8FAFC"/>
            <w:tcMar>
              <w:top w:w="80" w:type="dxa"/>
              <w:bottom w:w="80" w:type="dxa"/>
              <w:left w:w="120" w:type="dxa"/>
              <w:right w:w="120" w:type="dxa"/>
            </w:tcMar>
          </w:tcPr>
          <w:p>
            <w:pPr>
              <w:spacing w:after="0"/>
            </w:pPr>
            <w:r>
              <w:rPr>
                <w:b/>
                <w:color w:val="0F172A"/>
                <w:sz w:val="17"/>
              </w:rPr>
              <w:t>A La Carte Food &amp; Cocktails (₹850 avg)</w:t>
            </w:r>
          </w:p>
        </w:tc>
        <w:tc>
          <w:tcPr>
            <w:tcW w:type="dxa" w:w="1872"/>
            <w:shd w:fill="F8FAFC"/>
            <w:tcMar>
              <w:top w:w="80" w:type="dxa"/>
              <w:bottom w:w="80" w:type="dxa"/>
              <w:left w:w="120" w:type="dxa"/>
              <w:right w:w="120" w:type="dxa"/>
            </w:tcMar>
          </w:tcPr>
          <w:p>
            <w:pPr>
              <w:spacing w:after="0"/>
            </w:pPr>
            <w:r>
              <w:rPr>
                <w:color w:val="334155"/>
                <w:sz w:val="17"/>
              </w:rPr>
              <w:t>₹9,94,500</w:t>
            </w:r>
          </w:p>
        </w:tc>
        <w:tc>
          <w:tcPr>
            <w:tcW w:type="dxa" w:w="1296"/>
            <w:shd w:fill="F8FAFC"/>
            <w:tcMar>
              <w:top w:w="80" w:type="dxa"/>
              <w:bottom w:w="80" w:type="dxa"/>
              <w:left w:w="120" w:type="dxa"/>
              <w:right w:w="120" w:type="dxa"/>
            </w:tcMar>
          </w:tcPr>
          <w:p>
            <w:pPr>
              <w:spacing w:after="0"/>
            </w:pPr>
            <w:r>
              <w:rPr>
                <w:color w:val="334155"/>
                <w:sz w:val="17"/>
              </w:rPr>
              <w:t>19.6%</w:t>
            </w:r>
          </w:p>
        </w:tc>
        <w:tc>
          <w:tcPr>
            <w:tcW w:type="dxa" w:w="4320"/>
            <w:shd w:fill="F8FAFC"/>
            <w:tcMar>
              <w:top w:w="80" w:type="dxa"/>
              <w:bottom w:w="80" w:type="dxa"/>
              <w:left w:w="120" w:type="dxa"/>
              <w:right w:w="120" w:type="dxa"/>
            </w:tcMar>
          </w:tcPr>
          <w:p>
            <w:pPr>
              <w:spacing w:after="0"/>
            </w:pPr>
            <w:r>
              <w:rPr>
                <w:color w:val="334155"/>
                <w:sz w:val="17"/>
              </w:rPr>
              <w:t>45 guests/day × ₹850 spend × 26 operating days.</w:t>
            </w:r>
          </w:p>
        </w:tc>
      </w:tr>
      <w:tr>
        <w:tc>
          <w:tcPr>
            <w:tcW w:type="dxa" w:w="2880"/>
            <w:shd w:fill="FFFFFF"/>
            <w:tcMar>
              <w:top w:w="80" w:type="dxa"/>
              <w:bottom w:w="80" w:type="dxa"/>
              <w:left w:w="120" w:type="dxa"/>
              <w:right w:w="120" w:type="dxa"/>
            </w:tcMar>
          </w:tcPr>
          <w:p>
            <w:pPr>
              <w:spacing w:after="0"/>
            </w:pPr>
            <w:r>
              <w:rPr>
                <w:b/>
                <w:color w:val="0F172A"/>
                <w:sz w:val="17"/>
              </w:rPr>
              <w:t>TOTAL GROSS REVENUE</w:t>
            </w:r>
          </w:p>
        </w:tc>
        <w:tc>
          <w:tcPr>
            <w:tcW w:type="dxa" w:w="1872"/>
            <w:shd w:fill="FFFFFF"/>
            <w:tcMar>
              <w:top w:w="80" w:type="dxa"/>
              <w:bottom w:w="80" w:type="dxa"/>
              <w:left w:w="120" w:type="dxa"/>
              <w:right w:w="120" w:type="dxa"/>
            </w:tcMar>
          </w:tcPr>
          <w:p>
            <w:pPr>
              <w:spacing w:after="0"/>
            </w:pPr>
            <w:r>
              <w:rPr>
                <w:color w:val="334155"/>
                <w:sz w:val="17"/>
              </w:rPr>
              <w:t>₹50,86,770</w:t>
            </w:r>
          </w:p>
        </w:tc>
        <w:tc>
          <w:tcPr>
            <w:tcW w:type="dxa" w:w="1296"/>
            <w:shd w:fill="FFFFFF"/>
            <w:tcMar>
              <w:top w:w="80" w:type="dxa"/>
              <w:bottom w:w="80" w:type="dxa"/>
              <w:left w:w="120" w:type="dxa"/>
              <w:right w:w="120" w:type="dxa"/>
            </w:tcMar>
          </w:tcPr>
          <w:p>
            <w:pPr>
              <w:spacing w:after="0"/>
            </w:pPr>
            <w:r>
              <w:rPr>
                <w:color w:val="334155"/>
                <w:sz w:val="17"/>
              </w:rPr>
              <w:t>100.0%</w:t>
            </w:r>
          </w:p>
        </w:tc>
        <w:tc>
          <w:tcPr>
            <w:tcW w:type="dxa" w:w="4320"/>
            <w:shd w:fill="FFFFFF"/>
            <w:tcMar>
              <w:top w:w="80" w:type="dxa"/>
              <w:bottom w:w="80" w:type="dxa"/>
              <w:left w:w="120" w:type="dxa"/>
              <w:right w:w="120" w:type="dxa"/>
            </w:tcMar>
          </w:tcPr>
          <w:p>
            <w:pPr>
              <w:spacing w:after="0"/>
            </w:pPr>
            <w:r>
              <w:rPr>
                <w:color w:val="334155"/>
                <w:sz w:val="17"/>
              </w:rPr>
              <w:t>Gross annualized turnover of ₹6.10 Crore per lounge.</w:t>
            </w:r>
          </w:p>
        </w:tc>
      </w:tr>
      <w:tr>
        <w:tc>
          <w:tcPr>
            <w:tcW w:type="dxa" w:w="2880"/>
            <w:shd w:fill="F8FAFC"/>
            <w:tcMar>
              <w:top w:w="80" w:type="dxa"/>
              <w:bottom w:w="80" w:type="dxa"/>
              <w:left w:w="120" w:type="dxa"/>
              <w:right w:w="120" w:type="dxa"/>
            </w:tcMar>
          </w:tcPr>
          <w:p>
            <w:pPr>
              <w:spacing w:after="0"/>
            </w:pPr>
            <w:r>
              <w:rPr>
                <w:b/>
                <w:color w:val="0F172A"/>
                <w:sz w:val="17"/>
              </w:rPr>
              <w:t>Food &amp; Spirits COGS (48%)</w:t>
            </w:r>
          </w:p>
        </w:tc>
        <w:tc>
          <w:tcPr>
            <w:tcW w:type="dxa" w:w="1872"/>
            <w:shd w:fill="F8FAFC"/>
            <w:tcMar>
              <w:top w:w="80" w:type="dxa"/>
              <w:bottom w:w="80" w:type="dxa"/>
              <w:left w:w="120" w:type="dxa"/>
              <w:right w:w="120" w:type="dxa"/>
            </w:tcMar>
          </w:tcPr>
          <w:p>
            <w:pPr>
              <w:spacing w:after="0"/>
            </w:pPr>
            <w:r>
              <w:rPr>
                <w:color w:val="334155"/>
                <w:sz w:val="17"/>
              </w:rPr>
              <w:t>₹24,41,650</w:t>
            </w:r>
          </w:p>
        </w:tc>
        <w:tc>
          <w:tcPr>
            <w:tcW w:type="dxa" w:w="1296"/>
            <w:shd w:fill="F8FAFC"/>
            <w:tcMar>
              <w:top w:w="80" w:type="dxa"/>
              <w:bottom w:w="80" w:type="dxa"/>
              <w:left w:w="120" w:type="dxa"/>
              <w:right w:w="120" w:type="dxa"/>
            </w:tcMar>
          </w:tcPr>
          <w:p>
            <w:pPr>
              <w:spacing w:after="0"/>
            </w:pPr>
            <w:r>
              <w:rPr>
                <w:color w:val="334155"/>
                <w:sz w:val="17"/>
              </w:rPr>
              <w:t>48.0%</w:t>
            </w:r>
          </w:p>
        </w:tc>
        <w:tc>
          <w:tcPr>
            <w:tcW w:type="dxa" w:w="4320"/>
            <w:shd w:fill="F8FAFC"/>
            <w:tcMar>
              <w:top w:w="80" w:type="dxa"/>
              <w:bottom w:w="80" w:type="dxa"/>
              <w:left w:w="120" w:type="dxa"/>
              <w:right w:w="120" w:type="dxa"/>
            </w:tcMar>
          </w:tcPr>
          <w:p>
            <w:pPr>
              <w:spacing w:after="0"/>
            </w:pPr>
            <w:r>
              <w:rPr>
                <w:color w:val="334155"/>
                <w:sz w:val="17"/>
              </w:rPr>
              <w:t>Culinary raw materials and FeraBee proprietary spirits.</w:t>
            </w:r>
          </w:p>
        </w:tc>
      </w:tr>
      <w:tr>
        <w:tc>
          <w:tcPr>
            <w:tcW w:type="dxa" w:w="2880"/>
            <w:shd w:fill="FFFFFF"/>
            <w:tcMar>
              <w:top w:w="80" w:type="dxa"/>
              <w:bottom w:w="80" w:type="dxa"/>
              <w:left w:w="120" w:type="dxa"/>
              <w:right w:w="120" w:type="dxa"/>
            </w:tcMar>
          </w:tcPr>
          <w:p>
            <w:pPr>
              <w:spacing w:after="0"/>
            </w:pPr>
            <w:r>
              <w:rPr>
                <w:b/>
                <w:color w:val="0F172A"/>
                <w:sz w:val="17"/>
              </w:rPr>
              <w:t>GROSS OPERATING PROFIT</w:t>
            </w:r>
          </w:p>
        </w:tc>
        <w:tc>
          <w:tcPr>
            <w:tcW w:type="dxa" w:w="1872"/>
            <w:shd w:fill="FFFFFF"/>
            <w:tcMar>
              <w:top w:w="80" w:type="dxa"/>
              <w:bottom w:w="80" w:type="dxa"/>
              <w:left w:w="120" w:type="dxa"/>
              <w:right w:w="120" w:type="dxa"/>
            </w:tcMar>
          </w:tcPr>
          <w:p>
            <w:pPr>
              <w:spacing w:after="0"/>
            </w:pPr>
            <w:r>
              <w:rPr>
                <w:color w:val="334155"/>
                <w:sz w:val="17"/>
              </w:rPr>
              <w:t>₹26,45,120</w:t>
            </w:r>
          </w:p>
        </w:tc>
        <w:tc>
          <w:tcPr>
            <w:tcW w:type="dxa" w:w="1296"/>
            <w:shd w:fill="FFFFFF"/>
            <w:tcMar>
              <w:top w:w="80" w:type="dxa"/>
              <w:bottom w:w="80" w:type="dxa"/>
              <w:left w:w="120" w:type="dxa"/>
              <w:right w:w="120" w:type="dxa"/>
            </w:tcMar>
          </w:tcPr>
          <w:p>
            <w:pPr>
              <w:spacing w:after="0"/>
            </w:pPr>
            <w:r>
              <w:rPr>
                <w:color w:val="334155"/>
                <w:sz w:val="17"/>
              </w:rPr>
              <w:t>52.0%</w:t>
            </w:r>
          </w:p>
        </w:tc>
        <w:tc>
          <w:tcPr>
            <w:tcW w:type="dxa" w:w="4320"/>
            <w:shd w:fill="FFFFFF"/>
            <w:tcMar>
              <w:top w:w="80" w:type="dxa"/>
              <w:bottom w:w="80" w:type="dxa"/>
              <w:left w:w="120" w:type="dxa"/>
              <w:right w:w="120" w:type="dxa"/>
            </w:tcMar>
          </w:tcPr>
          <w:p>
            <w:pPr>
              <w:spacing w:after="0"/>
            </w:pPr>
            <w:r>
              <w:rPr>
                <w:color w:val="334155"/>
                <w:sz w:val="17"/>
              </w:rPr>
              <w:t>High-margin experiential dining baseline.</w:t>
            </w:r>
          </w:p>
        </w:tc>
      </w:tr>
      <w:tr>
        <w:tc>
          <w:tcPr>
            <w:tcW w:type="dxa" w:w="2880"/>
            <w:shd w:fill="F8FAFC"/>
            <w:tcMar>
              <w:top w:w="80" w:type="dxa"/>
              <w:bottom w:w="80" w:type="dxa"/>
              <w:left w:w="120" w:type="dxa"/>
              <w:right w:w="120" w:type="dxa"/>
            </w:tcMar>
          </w:tcPr>
          <w:p>
            <w:pPr>
              <w:spacing w:after="0"/>
            </w:pPr>
            <w:r>
              <w:rPr>
                <w:b/>
                <w:color w:val="0F172A"/>
                <w:sz w:val="17"/>
              </w:rPr>
              <w:t>Store OPEX (Rent, Staff 22, Power, Mktg)</w:t>
            </w:r>
          </w:p>
        </w:tc>
        <w:tc>
          <w:tcPr>
            <w:tcW w:type="dxa" w:w="1872"/>
            <w:shd w:fill="F8FAFC"/>
            <w:tcMar>
              <w:top w:w="80" w:type="dxa"/>
              <w:bottom w:w="80" w:type="dxa"/>
              <w:left w:w="120" w:type="dxa"/>
              <w:right w:w="120" w:type="dxa"/>
            </w:tcMar>
          </w:tcPr>
          <w:p>
            <w:pPr>
              <w:spacing w:after="0"/>
            </w:pPr>
            <w:r>
              <w:rPr>
                <w:color w:val="334155"/>
                <w:sz w:val="17"/>
              </w:rPr>
              <w:t>₹15,00,000</w:t>
            </w:r>
          </w:p>
        </w:tc>
        <w:tc>
          <w:tcPr>
            <w:tcW w:type="dxa" w:w="1296"/>
            <w:shd w:fill="F8FAFC"/>
            <w:tcMar>
              <w:top w:w="80" w:type="dxa"/>
              <w:bottom w:w="80" w:type="dxa"/>
              <w:left w:w="120" w:type="dxa"/>
              <w:right w:w="120" w:type="dxa"/>
            </w:tcMar>
          </w:tcPr>
          <w:p>
            <w:pPr>
              <w:spacing w:after="0"/>
            </w:pPr>
            <w:r>
              <w:rPr>
                <w:color w:val="334155"/>
                <w:sz w:val="17"/>
              </w:rPr>
              <w:t>29.5%</w:t>
            </w:r>
          </w:p>
        </w:tc>
        <w:tc>
          <w:tcPr>
            <w:tcW w:type="dxa" w:w="4320"/>
            <w:shd w:fill="F8FAFC"/>
            <w:tcMar>
              <w:top w:w="80" w:type="dxa"/>
              <w:bottom w:w="80" w:type="dxa"/>
              <w:left w:w="120" w:type="dxa"/>
              <w:right w:w="120" w:type="dxa"/>
            </w:tcMar>
          </w:tcPr>
          <w:p>
            <w:pPr>
              <w:spacing w:after="0"/>
            </w:pPr>
            <w:r>
              <w:rPr>
                <w:color w:val="334155"/>
                <w:sz w:val="17"/>
              </w:rPr>
              <w:t>Rent ₹4.5L, Payroll ₹5.5L, Utilities ₹1.5L, Royalty ₹1.5L, Tech ₹2.0L.</w:t>
            </w:r>
          </w:p>
        </w:tc>
      </w:tr>
      <w:tr>
        <w:tc>
          <w:tcPr>
            <w:tcW w:type="dxa" w:w="2880"/>
            <w:shd w:fill="FFFFFF"/>
            <w:tcMar>
              <w:top w:w="80" w:type="dxa"/>
              <w:bottom w:w="80" w:type="dxa"/>
              <w:left w:w="120" w:type="dxa"/>
              <w:right w:w="120" w:type="dxa"/>
            </w:tcMar>
          </w:tcPr>
          <w:p>
            <w:pPr>
              <w:spacing w:after="0"/>
            </w:pPr>
            <w:r>
              <w:rPr>
                <w:b/>
                <w:color w:val="0F172A"/>
                <w:sz w:val="17"/>
              </w:rPr>
              <w:t>FL-III License Amortization</w:t>
            </w:r>
          </w:p>
        </w:tc>
        <w:tc>
          <w:tcPr>
            <w:tcW w:type="dxa" w:w="1872"/>
            <w:shd w:fill="FFFFFF"/>
            <w:tcMar>
              <w:top w:w="80" w:type="dxa"/>
              <w:bottom w:w="80" w:type="dxa"/>
              <w:left w:w="120" w:type="dxa"/>
              <w:right w:w="120" w:type="dxa"/>
            </w:tcMar>
          </w:tcPr>
          <w:p>
            <w:pPr>
              <w:spacing w:after="0"/>
            </w:pPr>
            <w:r>
              <w:rPr>
                <w:color w:val="334155"/>
                <w:sz w:val="17"/>
              </w:rPr>
              <w:t>₹1,50,000</w:t>
            </w:r>
          </w:p>
        </w:tc>
        <w:tc>
          <w:tcPr>
            <w:tcW w:type="dxa" w:w="1296"/>
            <w:shd w:fill="FFFFFF"/>
            <w:tcMar>
              <w:top w:w="80" w:type="dxa"/>
              <w:bottom w:w="80" w:type="dxa"/>
              <w:left w:w="120" w:type="dxa"/>
              <w:right w:w="120" w:type="dxa"/>
            </w:tcMar>
          </w:tcPr>
          <w:p>
            <w:pPr>
              <w:spacing w:after="0"/>
            </w:pPr>
            <w:r>
              <w:rPr>
                <w:color w:val="334155"/>
                <w:sz w:val="17"/>
              </w:rPr>
              <w:t>3.0%</w:t>
            </w:r>
          </w:p>
        </w:tc>
        <w:tc>
          <w:tcPr>
            <w:tcW w:type="dxa" w:w="4320"/>
            <w:shd w:fill="FFFFFF"/>
            <w:tcMar>
              <w:top w:w="80" w:type="dxa"/>
              <w:bottom w:w="80" w:type="dxa"/>
              <w:left w:w="120" w:type="dxa"/>
              <w:right w:w="120" w:type="dxa"/>
            </w:tcMar>
          </w:tcPr>
          <w:p>
            <w:pPr>
              <w:spacing w:after="0"/>
            </w:pPr>
            <w:r>
              <w:rPr>
                <w:color w:val="334155"/>
                <w:sz w:val="17"/>
              </w:rPr>
              <w:t>Monthly reserve for annual state excise renewal.</w:t>
            </w:r>
          </w:p>
        </w:tc>
      </w:tr>
      <w:tr>
        <w:tc>
          <w:tcPr>
            <w:tcW w:type="dxa" w:w="2880"/>
            <w:shd w:fill="F8FAFC"/>
            <w:tcMar>
              <w:top w:w="80" w:type="dxa"/>
              <w:bottom w:w="80" w:type="dxa"/>
              <w:left w:w="120" w:type="dxa"/>
              <w:right w:w="120" w:type="dxa"/>
            </w:tcMar>
          </w:tcPr>
          <w:p>
            <w:pPr>
              <w:spacing w:after="0"/>
            </w:pPr>
            <w:r>
              <w:rPr>
                <w:b/>
                <w:color w:val="0F172A"/>
                <w:sz w:val="17"/>
              </w:rPr>
              <w:t>NET MONTHLY CASH PROFIT (FRANCHISEE)</w:t>
            </w:r>
          </w:p>
        </w:tc>
        <w:tc>
          <w:tcPr>
            <w:tcW w:type="dxa" w:w="1872"/>
            <w:shd w:fill="F8FAFC"/>
            <w:tcMar>
              <w:top w:w="80" w:type="dxa"/>
              <w:bottom w:w="80" w:type="dxa"/>
              <w:left w:w="120" w:type="dxa"/>
              <w:right w:w="120" w:type="dxa"/>
            </w:tcMar>
          </w:tcPr>
          <w:p>
            <w:pPr>
              <w:spacing w:after="0"/>
            </w:pPr>
            <w:r>
              <w:rPr>
                <w:color w:val="334155"/>
                <w:sz w:val="17"/>
              </w:rPr>
              <w:t>₹9,95,120</w:t>
            </w:r>
          </w:p>
        </w:tc>
        <w:tc>
          <w:tcPr>
            <w:tcW w:type="dxa" w:w="1296"/>
            <w:shd w:fill="F8FAFC"/>
            <w:tcMar>
              <w:top w:w="80" w:type="dxa"/>
              <w:bottom w:w="80" w:type="dxa"/>
              <w:left w:w="120" w:type="dxa"/>
              <w:right w:w="120" w:type="dxa"/>
            </w:tcMar>
          </w:tcPr>
          <w:p>
            <w:pPr>
              <w:spacing w:after="0"/>
            </w:pPr>
            <w:r>
              <w:rPr>
                <w:color w:val="334155"/>
                <w:sz w:val="17"/>
              </w:rPr>
              <w:t>19.6%</w:t>
            </w:r>
          </w:p>
        </w:tc>
        <w:tc>
          <w:tcPr>
            <w:tcW w:type="dxa" w:w="4320"/>
            <w:shd w:fill="F8FAFC"/>
            <w:tcMar>
              <w:top w:w="80" w:type="dxa"/>
              <w:bottom w:w="80" w:type="dxa"/>
              <w:left w:w="120" w:type="dxa"/>
              <w:right w:w="120" w:type="dxa"/>
            </w:tcMar>
          </w:tcPr>
          <w:p>
            <w:pPr>
              <w:spacing w:after="0"/>
            </w:pPr>
            <w:r>
              <w:rPr>
                <w:color w:val="334155"/>
                <w:sz w:val="17"/>
              </w:rPr>
              <w:t>Delivers ₹1.19 Crore in net annual cash distributions.</w:t>
            </w:r>
          </w:p>
        </w:tc>
      </w:tr>
      <w:tr>
        <w:tc>
          <w:tcPr>
            <w:tcW w:type="dxa" w:w="2880"/>
            <w:shd w:fill="FFFFFF"/>
            <w:tcMar>
              <w:top w:w="80" w:type="dxa"/>
              <w:bottom w:w="80" w:type="dxa"/>
              <w:left w:w="120" w:type="dxa"/>
              <w:right w:w="120" w:type="dxa"/>
            </w:tcMar>
          </w:tcPr>
          <w:p>
            <w:pPr>
              <w:spacing w:after="0"/>
            </w:pPr>
            <w:r>
              <w:rPr>
                <w:b/>
                <w:color w:val="0F172A"/>
                <w:sz w:val="17"/>
              </w:rPr>
              <w:t>FRANCHISE PAYBACK PERIOD</w:t>
            </w:r>
          </w:p>
        </w:tc>
        <w:tc>
          <w:tcPr>
            <w:tcW w:type="dxa" w:w="1872"/>
            <w:shd w:fill="FFFFFF"/>
            <w:tcMar>
              <w:top w:w="80" w:type="dxa"/>
              <w:bottom w:w="80" w:type="dxa"/>
              <w:left w:w="120" w:type="dxa"/>
              <w:right w:w="120" w:type="dxa"/>
            </w:tcMar>
          </w:tcPr>
          <w:p>
            <w:pPr>
              <w:spacing w:after="0"/>
            </w:pPr>
            <w:r>
              <w:rPr>
                <w:color w:val="334155"/>
                <w:sz w:val="17"/>
              </w:rPr>
              <w:t>12.6 – 18.0 Months</w:t>
            </w:r>
          </w:p>
        </w:tc>
        <w:tc>
          <w:tcPr>
            <w:tcW w:type="dxa" w:w="1296"/>
            <w:shd w:fill="FFFFFF"/>
            <w:tcMar>
              <w:top w:w="80" w:type="dxa"/>
              <w:bottom w:w="80" w:type="dxa"/>
              <w:left w:w="120" w:type="dxa"/>
              <w:right w:w="120" w:type="dxa"/>
            </w:tcMar>
          </w:tcPr>
          <w:p>
            <w:pPr>
              <w:spacing w:after="0"/>
            </w:pPr>
            <w:r>
              <w:rPr>
                <w:color w:val="334155"/>
                <w:sz w:val="17"/>
              </w:rPr>
              <w:t>—</w:t>
            </w:r>
          </w:p>
        </w:tc>
        <w:tc>
          <w:tcPr>
            <w:tcW w:type="dxa" w:w="4320"/>
            <w:shd w:fill="FFFFFF"/>
            <w:tcMar>
              <w:top w:w="80" w:type="dxa"/>
              <w:bottom w:w="80" w:type="dxa"/>
              <w:left w:w="120" w:type="dxa"/>
              <w:right w:w="120" w:type="dxa"/>
            </w:tcMar>
          </w:tcPr>
          <w:p>
            <w:pPr>
              <w:spacing w:after="0"/>
            </w:pPr>
            <w:r>
              <w:rPr>
                <w:color w:val="334155"/>
                <w:sz w:val="17"/>
              </w:rPr>
              <w:t>Outstanding payback with Internal Rate of Return (IRR) of 62%.</w:t>
            </w:r>
          </w:p>
        </w:tc>
      </w:tr>
    </w:tbl>
    <w:p>
      <w:pPr>
        <w:keepNext/>
        <w:spacing w:before="360" w:after="120"/>
        <w:pBdr>
          <w:bottom w:val="single" w:sz="12" w:space="4" w:color="D97706"/>
        </w:pBdr>
      </w:pPr>
      <w:r>
        <w:rPr>
          <w:rFonts w:ascii="Calibri" w:hAnsi="Calibri"/>
          <w:b/>
          <w:color w:val="0F172A"/>
          <w:sz w:val="28"/>
        </w:rPr>
        <w:t>4. The 'Unlimited Prix-Fixe' Menu Architecture</w:t>
      </w:r>
    </w:p>
    <w:p>
      <w:r>
        <w:t>FeraBee lounges operate three distinct pricing tiers designed to maximize table occupancy across both weekday lunches and peak weekend evenings: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E293B"/>
            <w:tcMar>
              <w:top w:w="100" w:type="dxa"/>
              <w:bottom w:w="100" w:type="dxa"/>
              <w:left w:w="120" w:type="dxa"/>
              <w:right w:w="120" w:type="dxa"/>
            </w:tcMar>
          </w:tcPr>
          <w:p>
            <w:pPr>
              <w:jc w:val="left"/>
            </w:pPr>
            <w:r>
              <w:rPr>
                <w:b/>
                <w:color w:val="FFFFFF"/>
                <w:sz w:val="18"/>
              </w:rPr>
              <w:t>Tier Package</w:t>
            </w:r>
          </w:p>
        </w:tc>
        <w:tc>
          <w:tcPr>
            <w:tcW w:type="dxa" w:w="1728"/>
            <w:shd w:fill="1E293B"/>
            <w:tcMar>
              <w:top w:w="100" w:type="dxa"/>
              <w:bottom w:w="100" w:type="dxa"/>
              <w:left w:w="120" w:type="dxa"/>
              <w:right w:w="120" w:type="dxa"/>
            </w:tcMar>
          </w:tcPr>
          <w:p>
            <w:pPr>
              <w:jc w:val="left"/>
            </w:pPr>
            <w:r>
              <w:rPr>
                <w:b/>
                <w:color w:val="FFFFFF"/>
                <w:sz w:val="18"/>
              </w:rPr>
              <w:t>Target Timing</w:t>
            </w:r>
          </w:p>
        </w:tc>
        <w:tc>
          <w:tcPr>
            <w:tcW w:type="dxa" w:w="1440"/>
            <w:shd w:fill="1E293B"/>
            <w:tcMar>
              <w:top w:w="100" w:type="dxa"/>
              <w:bottom w:w="100" w:type="dxa"/>
              <w:left w:w="120" w:type="dxa"/>
              <w:right w:w="120" w:type="dxa"/>
            </w:tcMar>
          </w:tcPr>
          <w:p>
            <w:pPr>
              <w:jc w:val="left"/>
            </w:pPr>
            <w:r>
              <w:rPr>
                <w:b/>
                <w:color w:val="FFFFFF"/>
                <w:sz w:val="18"/>
              </w:rPr>
              <w:t>Pricing / Guest</w:t>
            </w:r>
          </w:p>
        </w:tc>
        <w:tc>
          <w:tcPr>
            <w:tcW w:type="dxa" w:w="3600"/>
            <w:shd w:fill="1E293B"/>
            <w:tcMar>
              <w:top w:w="100" w:type="dxa"/>
              <w:bottom w:w="100" w:type="dxa"/>
              <w:left w:w="120" w:type="dxa"/>
              <w:right w:w="120" w:type="dxa"/>
            </w:tcMar>
          </w:tcPr>
          <w:p>
            <w:pPr>
              <w:jc w:val="left"/>
            </w:pPr>
            <w:r>
              <w:rPr>
                <w:b/>
                <w:color w:val="FFFFFF"/>
                <w:sz w:val="18"/>
              </w:rPr>
              <w:t>Inclusions &amp; Offerings</w:t>
            </w:r>
          </w:p>
        </w:tc>
        <w:tc>
          <w:tcPr>
            <w:tcW w:type="dxa" w:w="1872"/>
            <w:shd w:fill="1E293B"/>
            <w:tcMar>
              <w:top w:w="100" w:type="dxa"/>
              <w:bottom w:w="100" w:type="dxa"/>
              <w:left w:w="120" w:type="dxa"/>
              <w:right w:w="120" w:type="dxa"/>
            </w:tcMar>
          </w:tcPr>
          <w:p>
            <w:pPr>
              <w:jc w:val="left"/>
            </w:pPr>
            <w:r>
              <w:rPr>
                <w:b/>
                <w:color w:val="FFFFFF"/>
                <w:sz w:val="18"/>
              </w:rPr>
              <w:t>Token Allocation</w:t>
            </w:r>
          </w:p>
        </w:tc>
      </w:tr>
      <w:tr>
        <w:tc>
          <w:tcPr>
            <w:tcW w:type="dxa" w:w="1728"/>
            <w:shd w:fill="FFFFFF"/>
            <w:tcMar>
              <w:top w:w="80" w:type="dxa"/>
              <w:bottom w:w="80" w:type="dxa"/>
              <w:left w:w="120" w:type="dxa"/>
              <w:right w:w="120" w:type="dxa"/>
            </w:tcMar>
          </w:tcPr>
          <w:p>
            <w:pPr>
              <w:spacing w:after="0"/>
            </w:pPr>
            <w:r>
              <w:rPr>
                <w:b/>
                <w:color w:val="0F172A"/>
                <w:sz w:val="17"/>
              </w:rPr>
              <w:t>SILVER HIVE</w:t>
            </w:r>
          </w:p>
        </w:tc>
        <w:tc>
          <w:tcPr>
            <w:tcW w:type="dxa" w:w="1728"/>
            <w:shd w:fill="FFFFFF"/>
            <w:tcMar>
              <w:top w:w="80" w:type="dxa"/>
              <w:bottom w:w="80" w:type="dxa"/>
              <w:left w:w="120" w:type="dxa"/>
              <w:right w:w="120" w:type="dxa"/>
            </w:tcMar>
          </w:tcPr>
          <w:p>
            <w:pPr>
              <w:spacing w:after="0"/>
            </w:pPr>
            <w:r>
              <w:rPr>
                <w:color w:val="334155"/>
                <w:sz w:val="17"/>
              </w:rPr>
              <w:t>Mon–Thu Lunch (12–5pm)</w:t>
            </w:r>
          </w:p>
        </w:tc>
        <w:tc>
          <w:tcPr>
            <w:tcW w:type="dxa" w:w="1440"/>
            <w:shd w:fill="FFFFFF"/>
            <w:tcMar>
              <w:top w:w="80" w:type="dxa"/>
              <w:bottom w:w="80" w:type="dxa"/>
              <w:left w:w="120" w:type="dxa"/>
              <w:right w:w="120" w:type="dxa"/>
            </w:tcMar>
          </w:tcPr>
          <w:p>
            <w:pPr>
              <w:spacing w:after="0"/>
            </w:pPr>
            <w:r>
              <w:rPr>
                <w:color w:val="334155"/>
                <w:sz w:val="17"/>
              </w:rPr>
              <w:t>₹999</w:t>
            </w:r>
          </w:p>
        </w:tc>
        <w:tc>
          <w:tcPr>
            <w:tcW w:type="dxa" w:w="3600"/>
            <w:shd w:fill="FFFFFF"/>
            <w:tcMar>
              <w:top w:w="80" w:type="dxa"/>
              <w:bottom w:w="80" w:type="dxa"/>
              <w:left w:w="120" w:type="dxa"/>
              <w:right w:w="120" w:type="dxa"/>
            </w:tcMar>
          </w:tcPr>
          <w:p>
            <w:pPr>
              <w:spacing w:after="0"/>
            </w:pPr>
            <w:r>
              <w:rPr>
                <w:color w:val="334155"/>
                <w:sz w:val="17"/>
              </w:rPr>
              <w:t>Unlimited Gourmet Veg Dining + Craft Beer / Vodka / Rum</w:t>
            </w:r>
          </w:p>
        </w:tc>
        <w:tc>
          <w:tcPr>
            <w:tcW w:type="dxa" w:w="1872"/>
            <w:shd w:fill="FFFFFF"/>
            <w:tcMar>
              <w:top w:w="80" w:type="dxa"/>
              <w:bottom w:w="80" w:type="dxa"/>
              <w:left w:w="120" w:type="dxa"/>
              <w:right w:w="120" w:type="dxa"/>
            </w:tcMar>
          </w:tcPr>
          <w:p>
            <w:pPr>
              <w:spacing w:after="0"/>
            </w:pPr>
            <w:r>
              <w:rPr>
                <w:color w:val="334155"/>
                <w:sz w:val="17"/>
              </w:rPr>
              <w:t>4 Smart Tokens (240ml max)</w:t>
            </w:r>
          </w:p>
        </w:tc>
      </w:tr>
      <w:tr>
        <w:tc>
          <w:tcPr>
            <w:tcW w:type="dxa" w:w="1728"/>
            <w:shd w:fill="F8FAFC"/>
            <w:tcMar>
              <w:top w:w="80" w:type="dxa"/>
              <w:bottom w:w="80" w:type="dxa"/>
              <w:left w:w="120" w:type="dxa"/>
              <w:right w:w="120" w:type="dxa"/>
            </w:tcMar>
          </w:tcPr>
          <w:p>
            <w:pPr>
              <w:spacing w:after="0"/>
            </w:pPr>
            <w:r>
              <w:rPr>
                <w:b/>
                <w:color w:val="0F172A"/>
                <w:sz w:val="17"/>
              </w:rPr>
              <w:t>GOLD BEE (Best Seller)</w:t>
            </w:r>
          </w:p>
        </w:tc>
        <w:tc>
          <w:tcPr>
            <w:tcW w:type="dxa" w:w="1728"/>
            <w:shd w:fill="F8FAFC"/>
            <w:tcMar>
              <w:top w:w="80" w:type="dxa"/>
              <w:bottom w:w="80" w:type="dxa"/>
              <w:left w:w="120" w:type="dxa"/>
              <w:right w:w="120" w:type="dxa"/>
            </w:tcMar>
          </w:tcPr>
          <w:p>
            <w:pPr>
              <w:spacing w:after="0"/>
            </w:pPr>
            <w:r>
              <w:rPr>
                <w:color w:val="334155"/>
                <w:sz w:val="17"/>
              </w:rPr>
              <w:t>Daily Dinner (7–11:30pm)</w:t>
            </w:r>
          </w:p>
        </w:tc>
        <w:tc>
          <w:tcPr>
            <w:tcW w:type="dxa" w:w="1440"/>
            <w:shd w:fill="F8FAFC"/>
            <w:tcMar>
              <w:top w:w="80" w:type="dxa"/>
              <w:bottom w:w="80" w:type="dxa"/>
              <w:left w:w="120" w:type="dxa"/>
              <w:right w:w="120" w:type="dxa"/>
            </w:tcMar>
          </w:tcPr>
          <w:p>
            <w:pPr>
              <w:spacing w:after="0"/>
            </w:pPr>
            <w:r>
              <w:rPr>
                <w:color w:val="334155"/>
                <w:sz w:val="17"/>
              </w:rPr>
              <w:t>₹1,499</w:t>
            </w:r>
          </w:p>
        </w:tc>
        <w:tc>
          <w:tcPr>
            <w:tcW w:type="dxa" w:w="3600"/>
            <w:shd w:fill="F8FAFC"/>
            <w:tcMar>
              <w:top w:w="80" w:type="dxa"/>
              <w:bottom w:w="80" w:type="dxa"/>
              <w:left w:w="120" w:type="dxa"/>
              <w:right w:w="120" w:type="dxa"/>
            </w:tcMar>
          </w:tcPr>
          <w:p>
            <w:pPr>
              <w:spacing w:after="0"/>
            </w:pPr>
            <w:r>
              <w:rPr>
                <w:color w:val="334155"/>
                <w:sz w:val="17"/>
              </w:rPr>
              <w:t>Unlimited 7-Course Non-Veg/Veg Dining + All Spirits + Unlimited Beer</w:t>
            </w:r>
          </w:p>
        </w:tc>
        <w:tc>
          <w:tcPr>
            <w:tcW w:type="dxa" w:w="1872"/>
            <w:shd w:fill="F8FAFC"/>
            <w:tcMar>
              <w:top w:w="80" w:type="dxa"/>
              <w:bottom w:w="80" w:type="dxa"/>
              <w:left w:w="120" w:type="dxa"/>
              <w:right w:w="120" w:type="dxa"/>
            </w:tcMar>
          </w:tcPr>
          <w:p>
            <w:pPr>
              <w:spacing w:after="0"/>
            </w:pPr>
            <w:r>
              <w:rPr>
                <w:color w:val="334155"/>
                <w:sz w:val="17"/>
              </w:rPr>
              <w:t>6 Smart Tokens (360ml max)</w:t>
            </w:r>
          </w:p>
        </w:tc>
      </w:tr>
      <w:tr>
        <w:tc>
          <w:tcPr>
            <w:tcW w:type="dxa" w:w="1728"/>
            <w:shd w:fill="FFFFFF"/>
            <w:tcMar>
              <w:top w:w="80" w:type="dxa"/>
              <w:bottom w:w="80" w:type="dxa"/>
              <w:left w:w="120" w:type="dxa"/>
              <w:right w:w="120" w:type="dxa"/>
            </w:tcMar>
          </w:tcPr>
          <w:p>
            <w:pPr>
              <w:spacing w:after="0"/>
            </w:pPr>
            <w:r>
              <w:rPr>
                <w:b/>
                <w:color w:val="0F172A"/>
                <w:sz w:val="17"/>
              </w:rPr>
              <w:t>PLATINUM ROYAL</w:t>
            </w:r>
          </w:p>
        </w:tc>
        <w:tc>
          <w:tcPr>
            <w:tcW w:type="dxa" w:w="1728"/>
            <w:shd w:fill="FFFFFF"/>
            <w:tcMar>
              <w:top w:w="80" w:type="dxa"/>
              <w:bottom w:w="80" w:type="dxa"/>
              <w:left w:w="120" w:type="dxa"/>
              <w:right w:w="120" w:type="dxa"/>
            </w:tcMar>
          </w:tcPr>
          <w:p>
            <w:pPr>
              <w:spacing w:after="0"/>
            </w:pPr>
            <w:r>
              <w:rPr>
                <w:color w:val="334155"/>
                <w:sz w:val="17"/>
              </w:rPr>
              <w:t>Weekends &amp; Festive</w:t>
            </w:r>
          </w:p>
        </w:tc>
        <w:tc>
          <w:tcPr>
            <w:tcW w:type="dxa" w:w="1440"/>
            <w:shd w:fill="FFFFFF"/>
            <w:tcMar>
              <w:top w:w="80" w:type="dxa"/>
              <w:bottom w:w="80" w:type="dxa"/>
              <w:left w:w="120" w:type="dxa"/>
              <w:right w:w="120" w:type="dxa"/>
            </w:tcMar>
          </w:tcPr>
          <w:p>
            <w:pPr>
              <w:spacing w:after="0"/>
            </w:pPr>
            <w:r>
              <w:rPr>
                <w:color w:val="334155"/>
                <w:sz w:val="17"/>
              </w:rPr>
              <w:t>₹1,999</w:t>
            </w:r>
          </w:p>
        </w:tc>
        <w:tc>
          <w:tcPr>
            <w:tcW w:type="dxa" w:w="3600"/>
            <w:shd w:fill="FFFFFF"/>
            <w:tcMar>
              <w:top w:w="80" w:type="dxa"/>
              <w:bottom w:w="80" w:type="dxa"/>
              <w:left w:w="120" w:type="dxa"/>
              <w:right w:w="120" w:type="dxa"/>
            </w:tcMar>
          </w:tcPr>
          <w:p>
            <w:pPr>
              <w:spacing w:after="0"/>
            </w:pPr>
            <w:r>
              <w:rPr>
                <w:color w:val="334155"/>
                <w:sz w:val="17"/>
              </w:rPr>
              <w:t>Unlimited Seafood, Live BBQ, Sparkling Wine &amp; Single Malt Scotch</w:t>
            </w:r>
          </w:p>
        </w:tc>
        <w:tc>
          <w:tcPr>
            <w:tcW w:type="dxa" w:w="1872"/>
            <w:shd w:fill="FFFFFF"/>
            <w:tcMar>
              <w:top w:w="80" w:type="dxa"/>
              <w:bottom w:w="80" w:type="dxa"/>
              <w:left w:w="120" w:type="dxa"/>
              <w:right w:w="120" w:type="dxa"/>
            </w:tcMar>
          </w:tcPr>
          <w:p>
            <w:pPr>
              <w:spacing w:after="0"/>
            </w:pPr>
            <w:r>
              <w:rPr>
                <w:color w:val="334155"/>
                <w:sz w:val="17"/>
              </w:rPr>
              <w:t>8 Smart Tokens + Cocktails</w:t>
            </w:r>
          </w:p>
        </w:tc>
      </w:tr>
    </w:tbl>
    <w:p>
      <w:pPr>
        <w:keepNext/>
        <w:spacing w:before="360" w:after="120"/>
        <w:pBdr>
          <w:bottom w:val="single" w:sz="12" w:space="4" w:color="D97706"/>
        </w:pBdr>
      </w:pPr>
      <w:r>
        <w:rPr>
          <w:rFonts w:ascii="Calibri" w:hAnsi="Calibri"/>
          <w:b/>
          <w:color w:val="0F172A"/>
          <w:sz w:val="28"/>
        </w:rPr>
        <w:t>5. Site Selection Benchmark &amp; Step-by-Step Onboarding Roadmap</w:t>
      </w:r>
    </w:p>
    <w:p>
      <w:r>
        <w:t>To ensure every Bee Lounge surpasses the ₹50 Lakh monthly turnover benchmark, our project team conducts rigorous catchment scoring:</w:t>
        <w:br/>
        <w:t>1. Footfall &amp; Visibility: Minimum 15,000 daily vehicular/pedestrian traffic on major arterial roads or recognized dining hubs.</w:t>
        <w:br/>
        <w:t>2. Real Estate Dimensions: Carpet area 2,500 – 3,000 sq.ft, minimum 40 ft frontage, 11 ft clear ceiling height, dedicated parking for 15+ cars.</w:t>
        <w:br/>
        <w:t>3. Demographic Profile: Minimum 100,000 population within 5 km radius, with &gt;35% falling in the 21–45 age bracket.</w:t>
      </w:r>
    </w:p>
    <w:p>
      <w:r>
        <w:t>Step-by-Step 90-Day Turnkey Launch Roadmap:</w:t>
        <w:br/>
        <w:t>• Days 1–15: Letter of Intent (LOI), Territory Exclusivity Agreement, and Site Approval.</w:t>
        <w:br/>
        <w:t>• Days 16–45: Architectural CAD/3D Design, BOQ finalization, civil fit-out commencement, and FL-III license submission.</w:t>
        <w:br/>
        <w:t>• Days 46–75: Interior fit-out execution, IoT optic pourer installation, central staff hiring &amp; Pune Academy training.</w:t>
        <w:br/>
        <w:t>• Days 76–90: Dry run tasting trials, state excise inspection clearance, local influencer campaign, and Grand Opening Gala.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