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280" w:type="dxa"/>
              <w:bottom w:w="280" w:type="dxa"/>
              <w:left w:w="280" w:type="dxa"/>
              <w:right w:w="280" w:type="dxa"/>
            </w:tcMar>
          </w:tcPr>
          <w:p>
            <w:pPr>
              <w:spacing w:after="40"/>
              <w:jc w:val="left"/>
            </w:pPr>
            <w:r>
              <w:rPr>
                <w:b/>
                <w:color w:val="FBBF24"/>
                <w:sz w:val="19"/>
              </w:rPr>
              <w:t>FERABEE LIQUOR PRIVATE LIMITED  |  STATUTORY REGULATORY DOSSIER</w:t>
              <w:br/>
            </w:r>
            <w:r>
              <w:rPr>
                <w:b/>
                <w:color w:val="FFFFFF"/>
                <w:sz w:val="36"/>
              </w:rPr>
              <w:t>GOVERNMENT &amp; STATE EXCISE REGULATORY COMPLIANCE DOSSIER</w:t>
              <w:br/>
            </w:r>
            <w:r>
              <w:rPr>
                <w:color w:val="E2E8F0"/>
                <w:sz w:val="22"/>
              </w:rPr>
              <w:t>Statutory Licensing Framework, Inter-State Duty Architecture, Label Approvals &amp; Legal Defense Playbook</w:t>
              <w:br/>
              <w:br/>
            </w:r>
            <w:r>
              <w:rPr>
                <w:color w:val="94A3B8"/>
                <w:sz w:val="17"/>
              </w:rPr>
              <w:t>Target Markets: Maharashtra (355 Talukas) &amp; Goa (12 Talukas)  |  Version: 2.4 (Statutory Validated)  |  Classification: Confidential</w:t>
            </w:r>
          </w:p>
        </w:tc>
      </w:tr>
    </w:tbl>
    <w:p>
      <w:pPr>
        <w:keepNext/>
        <w:spacing w:before="360" w:after="120"/>
        <w:pBdr>
          <w:bottom w:val="single" w:sz="12" w:space="4" w:color="D97706"/>
        </w:pBdr>
      </w:pPr>
      <w:r>
        <w:rPr>
          <w:rFonts w:ascii="Calibri" w:hAnsi="Calibri"/>
          <w:b/>
          <w:color w:val="0F172A"/>
          <w:sz w:val="29"/>
        </w:rPr>
        <w:t>1. Executive Regulatory Summary &amp; Statutory Framework</w:t>
      </w:r>
    </w:p>
    <w:p>
      <w:r>
        <w:t>In India, alcoholic beverages fall under Entry 8 of List II (State List) in the Seventh Schedule of the Constitution of India. Consequently, each State exercises absolute sovereign jurisdiction over the manufacturing, importation, exportation, transport, possession, taxation, and retail sale of alcohol within its geographical boundaries. FeraBee Liquor Private Limited operates a strategic dual-state corporate structure: leveraging Goa as its primary manufacturing, blending, and bottling base, while scaling a captive experiential franchise network across all 355 Talukas of Maharashtra and 12 Talukas of Goa.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24" w:color="3B82F6"/>
              <w:bottom w:val="none"/>
              <w:right w:val="none"/>
            </w:tcBorders>
          </w:tcPr>
          <w:p>
            <w:pPr>
              <w:spacing w:after="40"/>
            </w:pPr>
            <w:r>
              <w:rPr>
                <w:b/>
                <w:color w:val="1E3A8A"/>
                <w:sz w:val="19"/>
              </w:rPr>
              <w:t xml:space="preserve">✦ CONSTITUTIONAL FISCAL PRINCIPLE: </w:t>
            </w:r>
            <w:r>
              <w:rPr>
                <w:color w:val="0F172A"/>
                <w:sz w:val="19"/>
              </w:rPr>
              <w:t>Dual-State Arbitrage Reality: While Goa provides lower initial production overheads, streamlined label registrations, and a favorable manufacturing environment, any stock crossing the border into Maharashtra is immediately subjected to Maharashtra's state excise duty multiplier (4.5x of manufacturing cost) and import pass fees. Total regulatory adherence is required to prevent classification of legitimate inter-state transit as unauthorized contraband.</w:t>
            </w:r>
          </w:p>
        </w:tc>
      </w:tr>
    </w:tbl>
    <w:p>
      <w:pPr>
        <w:keepNext/>
        <w:spacing w:before="360" w:after="120"/>
        <w:pBdr>
          <w:bottom w:val="single" w:sz="12" w:space="4" w:color="D97706"/>
        </w:pBdr>
      </w:pPr>
      <w:r>
        <w:rPr>
          <w:rFonts w:ascii="Calibri" w:hAnsi="Calibri"/>
          <w:b/>
          <w:color w:val="0F172A"/>
          <w:sz w:val="29"/>
        </w:rPr>
        <w:t>2. Master Statutory Licensing Matrix &amp; Budget Breakdown</w:t>
      </w:r>
    </w:p>
    <w:p>
      <w:r>
        <w:t>To operationalize third-party contract bottling in Goa, transport bonded inventory across state borders, and operate 100-cover Bee Lounges, the company and its franchise partners must secure and maintain a multi-tiered array of statutory approvals: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E293B"/>
            <w:tcMar>
              <w:top w:w="100" w:type="dxa"/>
              <w:bottom w:w="100" w:type="dxa"/>
              <w:left w:w="120" w:type="dxa"/>
              <w:right w:w="120" w:type="dxa"/>
            </w:tcMar>
          </w:tcPr>
          <w:p>
            <w:pPr>
              <w:jc w:val="left"/>
            </w:pPr>
            <w:r>
              <w:rPr>
                <w:b/>
                <w:color w:val="FFFFFF"/>
                <w:sz w:val="18"/>
              </w:rPr>
              <w:t>License / Statutory NOC</w:t>
            </w:r>
          </w:p>
        </w:tc>
        <w:tc>
          <w:tcPr>
            <w:tcW w:type="dxa" w:w="2016"/>
            <w:shd w:fill="1E293B"/>
            <w:tcMar>
              <w:top w:w="100" w:type="dxa"/>
              <w:bottom w:w="100" w:type="dxa"/>
              <w:left w:w="120" w:type="dxa"/>
              <w:right w:w="120" w:type="dxa"/>
            </w:tcMar>
          </w:tcPr>
          <w:p>
            <w:pPr>
              <w:jc w:val="left"/>
            </w:pPr>
            <w:r>
              <w:rPr>
                <w:b/>
                <w:color w:val="FFFFFF"/>
                <w:sz w:val="18"/>
              </w:rPr>
              <w:t>Issuing Authority</w:t>
            </w:r>
          </w:p>
        </w:tc>
        <w:tc>
          <w:tcPr>
            <w:tcW w:type="dxa" w:w="1296"/>
            <w:shd w:fill="1E293B"/>
            <w:tcMar>
              <w:top w:w="100" w:type="dxa"/>
              <w:bottom w:w="100" w:type="dxa"/>
              <w:left w:w="120" w:type="dxa"/>
              <w:right w:w="120" w:type="dxa"/>
            </w:tcMar>
          </w:tcPr>
          <w:p>
            <w:pPr>
              <w:jc w:val="left"/>
            </w:pPr>
            <w:r>
              <w:rPr>
                <w:b/>
                <w:color w:val="FFFFFF"/>
                <w:sz w:val="18"/>
              </w:rPr>
              <w:t>Jurisdiction</w:t>
            </w:r>
          </w:p>
        </w:tc>
        <w:tc>
          <w:tcPr>
            <w:tcW w:type="dxa" w:w="1440"/>
            <w:shd w:fill="1E293B"/>
            <w:tcMar>
              <w:top w:w="100" w:type="dxa"/>
              <w:bottom w:w="100" w:type="dxa"/>
              <w:left w:w="120" w:type="dxa"/>
              <w:right w:w="120" w:type="dxa"/>
            </w:tcMar>
          </w:tcPr>
          <w:p>
            <w:pPr>
              <w:jc w:val="left"/>
            </w:pPr>
            <w:r>
              <w:rPr>
                <w:b/>
                <w:color w:val="FFFFFF"/>
                <w:sz w:val="18"/>
              </w:rPr>
              <w:t>Annual Cost (₹)</w:t>
            </w:r>
          </w:p>
        </w:tc>
        <w:tc>
          <w:tcPr>
            <w:tcW w:type="dxa" w:w="1152"/>
            <w:shd w:fill="1E293B"/>
            <w:tcMar>
              <w:top w:w="100" w:type="dxa"/>
              <w:bottom w:w="100" w:type="dxa"/>
              <w:left w:w="120" w:type="dxa"/>
              <w:right w:w="120" w:type="dxa"/>
            </w:tcMar>
          </w:tcPr>
          <w:p>
            <w:pPr>
              <w:jc w:val="left"/>
            </w:pPr>
            <w:r>
              <w:rPr>
                <w:b/>
                <w:color w:val="FFFFFF"/>
                <w:sz w:val="18"/>
              </w:rPr>
              <w:t>Responsibility</w:t>
            </w:r>
          </w:p>
        </w:tc>
        <w:tc>
          <w:tcPr>
            <w:tcW w:type="dxa" w:w="864"/>
            <w:shd w:fill="1E293B"/>
            <w:tcMar>
              <w:top w:w="100" w:type="dxa"/>
              <w:bottom w:w="100" w:type="dxa"/>
              <w:left w:w="120" w:type="dxa"/>
              <w:right w:w="120" w:type="dxa"/>
            </w:tcMar>
          </w:tcPr>
          <w:p>
            <w:pPr>
              <w:jc w:val="left"/>
            </w:pPr>
            <w:r>
              <w:rPr>
                <w:b/>
                <w:color w:val="FFFFFF"/>
                <w:sz w:val="18"/>
              </w:rPr>
              <w:t>Renewal Cycle</w:t>
            </w:r>
          </w:p>
        </w:tc>
      </w:tr>
      <w:tr>
        <w:tc>
          <w:tcPr>
            <w:tcW w:type="dxa" w:w="2592"/>
            <w:shd w:fill="FFFFFF"/>
            <w:tcMar>
              <w:top w:w="80" w:type="dxa"/>
              <w:bottom w:w="80" w:type="dxa"/>
              <w:left w:w="120" w:type="dxa"/>
              <w:right w:w="120" w:type="dxa"/>
            </w:tcMar>
          </w:tcPr>
          <w:p>
            <w:pPr>
              <w:spacing w:after="0"/>
            </w:pPr>
            <w:r>
              <w:rPr>
                <w:b/>
                <w:color w:val="0F172A"/>
                <w:sz w:val="17"/>
              </w:rPr>
              <w:t>Distillery Bottling Lease Approval</w:t>
            </w:r>
          </w:p>
        </w:tc>
        <w:tc>
          <w:tcPr>
            <w:tcW w:type="dxa" w:w="2016"/>
            <w:shd w:fill="FFFFFF"/>
            <w:tcMar>
              <w:top w:w="80" w:type="dxa"/>
              <w:bottom w:w="80" w:type="dxa"/>
              <w:left w:w="120" w:type="dxa"/>
              <w:right w:w="120" w:type="dxa"/>
            </w:tcMar>
          </w:tcPr>
          <w:p>
            <w:pPr>
              <w:spacing w:after="0"/>
            </w:pPr>
            <w:r>
              <w:rPr>
                <w:color w:val="334155"/>
                <w:sz w:val="17"/>
              </w:rPr>
              <w:t>Goa State Excise Dept</w:t>
            </w:r>
          </w:p>
        </w:tc>
        <w:tc>
          <w:tcPr>
            <w:tcW w:type="dxa" w:w="1296"/>
            <w:shd w:fill="FFFFFF"/>
            <w:tcMar>
              <w:top w:w="80" w:type="dxa"/>
              <w:bottom w:w="80" w:type="dxa"/>
              <w:left w:w="120" w:type="dxa"/>
              <w:right w:w="120" w:type="dxa"/>
            </w:tcMar>
          </w:tcPr>
          <w:p>
            <w:pPr>
              <w:spacing w:after="0"/>
            </w:pPr>
            <w:r>
              <w:rPr>
                <w:color w:val="334155"/>
                <w:sz w:val="17"/>
              </w:rPr>
              <w:t>Goa</w:t>
            </w:r>
          </w:p>
        </w:tc>
        <w:tc>
          <w:tcPr>
            <w:tcW w:type="dxa" w:w="1440"/>
            <w:shd w:fill="FFFFFF"/>
            <w:tcMar>
              <w:top w:w="80" w:type="dxa"/>
              <w:bottom w:w="80" w:type="dxa"/>
              <w:left w:w="120" w:type="dxa"/>
              <w:right w:w="120" w:type="dxa"/>
            </w:tcMar>
          </w:tcPr>
          <w:p>
            <w:pPr>
              <w:spacing w:after="0"/>
            </w:pPr>
            <w:r>
              <w:rPr>
                <w:color w:val="334155"/>
                <w:sz w:val="17"/>
              </w:rPr>
              <w:t>₹9,20,000 + ₹80k</w:t>
            </w:r>
          </w:p>
        </w:tc>
        <w:tc>
          <w:tcPr>
            <w:tcW w:type="dxa" w:w="1152"/>
            <w:shd w:fill="FFFFFF"/>
            <w:tcMar>
              <w:top w:w="80" w:type="dxa"/>
              <w:bottom w:w="80" w:type="dxa"/>
              <w:left w:w="120" w:type="dxa"/>
              <w:right w:w="120" w:type="dxa"/>
            </w:tcMar>
          </w:tcPr>
          <w:p>
            <w:pPr>
              <w:spacing w:after="0"/>
            </w:pPr>
            <w:r>
              <w:rPr>
                <w:color w:val="334155"/>
                <w:sz w:val="17"/>
              </w:rPr>
              <w:t>FeraBee Parent</w:t>
            </w:r>
          </w:p>
        </w:tc>
        <w:tc>
          <w:tcPr>
            <w:tcW w:type="dxa" w:w="864"/>
            <w:shd w:fill="FFFFFF"/>
            <w:tcMar>
              <w:top w:w="80" w:type="dxa"/>
              <w:bottom w:w="80" w:type="dxa"/>
              <w:left w:w="120" w:type="dxa"/>
              <w:right w:w="120" w:type="dxa"/>
            </w:tcMar>
          </w:tcPr>
          <w:p>
            <w:pPr>
              <w:spacing w:after="0"/>
            </w:pPr>
            <w:r>
              <w:rPr>
                <w:color w:val="334155"/>
                <w:sz w:val="17"/>
              </w:rPr>
              <w:t>Annual</w:t>
            </w:r>
          </w:p>
        </w:tc>
      </w:tr>
      <w:tr>
        <w:tc>
          <w:tcPr>
            <w:tcW w:type="dxa" w:w="2592"/>
            <w:shd w:fill="F8FAFC"/>
            <w:tcMar>
              <w:top w:w="80" w:type="dxa"/>
              <w:bottom w:w="80" w:type="dxa"/>
              <w:left w:w="120" w:type="dxa"/>
              <w:right w:w="120" w:type="dxa"/>
            </w:tcMar>
          </w:tcPr>
          <w:p>
            <w:pPr>
              <w:spacing w:after="0"/>
            </w:pPr>
            <w:r>
              <w:rPr>
                <w:b/>
                <w:color w:val="0F172A"/>
                <w:sz w:val="17"/>
              </w:rPr>
              <w:t>Bonded Wholesale Warehouse</w:t>
            </w:r>
          </w:p>
        </w:tc>
        <w:tc>
          <w:tcPr>
            <w:tcW w:type="dxa" w:w="2016"/>
            <w:shd w:fill="F8FAFC"/>
            <w:tcMar>
              <w:top w:w="80" w:type="dxa"/>
              <w:bottom w:w="80" w:type="dxa"/>
              <w:left w:w="120" w:type="dxa"/>
              <w:right w:w="120" w:type="dxa"/>
            </w:tcMar>
          </w:tcPr>
          <w:p>
            <w:pPr>
              <w:spacing w:after="0"/>
            </w:pPr>
            <w:r>
              <w:rPr>
                <w:color w:val="334155"/>
                <w:sz w:val="17"/>
              </w:rPr>
              <w:t>Goa Excise / MH Excise</w:t>
            </w:r>
          </w:p>
        </w:tc>
        <w:tc>
          <w:tcPr>
            <w:tcW w:type="dxa" w:w="1296"/>
            <w:shd w:fill="F8FAFC"/>
            <w:tcMar>
              <w:top w:w="80" w:type="dxa"/>
              <w:bottom w:w="80" w:type="dxa"/>
              <w:left w:w="120" w:type="dxa"/>
              <w:right w:w="120" w:type="dxa"/>
            </w:tcMar>
          </w:tcPr>
          <w:p>
            <w:pPr>
              <w:spacing w:after="0"/>
            </w:pPr>
            <w:r>
              <w:rPr>
                <w:color w:val="334155"/>
                <w:sz w:val="17"/>
              </w:rPr>
              <w:t>Goa &amp; MH</w:t>
            </w:r>
          </w:p>
        </w:tc>
        <w:tc>
          <w:tcPr>
            <w:tcW w:type="dxa" w:w="1440"/>
            <w:shd w:fill="F8FAFC"/>
            <w:tcMar>
              <w:top w:w="80" w:type="dxa"/>
              <w:bottom w:w="80" w:type="dxa"/>
              <w:left w:w="120" w:type="dxa"/>
              <w:right w:w="120" w:type="dxa"/>
            </w:tcMar>
          </w:tcPr>
          <w:p>
            <w:pPr>
              <w:spacing w:after="0"/>
            </w:pPr>
            <w:r>
              <w:rPr>
                <w:color w:val="334155"/>
                <w:sz w:val="17"/>
              </w:rPr>
              <w:t>₹50,000 / unit</w:t>
            </w:r>
          </w:p>
        </w:tc>
        <w:tc>
          <w:tcPr>
            <w:tcW w:type="dxa" w:w="1152"/>
            <w:shd w:fill="F8FAFC"/>
            <w:tcMar>
              <w:top w:w="80" w:type="dxa"/>
              <w:bottom w:w="80" w:type="dxa"/>
              <w:left w:w="120" w:type="dxa"/>
              <w:right w:w="120" w:type="dxa"/>
            </w:tcMar>
          </w:tcPr>
          <w:p>
            <w:pPr>
              <w:spacing w:after="0"/>
            </w:pPr>
            <w:r>
              <w:rPr>
                <w:color w:val="334155"/>
                <w:sz w:val="17"/>
              </w:rPr>
              <w:t>FeraBee Parent</w:t>
            </w:r>
          </w:p>
        </w:tc>
        <w:tc>
          <w:tcPr>
            <w:tcW w:type="dxa" w:w="864"/>
            <w:shd w:fill="F8FAFC"/>
            <w:tcMar>
              <w:top w:w="80" w:type="dxa"/>
              <w:bottom w:w="80" w:type="dxa"/>
              <w:left w:w="120" w:type="dxa"/>
              <w:right w:w="120" w:type="dxa"/>
            </w:tcMar>
          </w:tcPr>
          <w:p>
            <w:pPr>
              <w:spacing w:after="0"/>
            </w:pPr>
            <w:r>
              <w:rPr>
                <w:color w:val="334155"/>
                <w:sz w:val="17"/>
              </w:rPr>
              <w:t>Annual</w:t>
            </w:r>
          </w:p>
        </w:tc>
      </w:tr>
      <w:tr>
        <w:tc>
          <w:tcPr>
            <w:tcW w:type="dxa" w:w="2592"/>
            <w:shd w:fill="FFFFFF"/>
            <w:tcMar>
              <w:top w:w="80" w:type="dxa"/>
              <w:bottom w:w="80" w:type="dxa"/>
              <w:left w:w="120" w:type="dxa"/>
              <w:right w:w="120" w:type="dxa"/>
            </w:tcMar>
          </w:tcPr>
          <w:p>
            <w:pPr>
              <w:spacing w:after="0"/>
            </w:pPr>
            <w:r>
              <w:rPr>
                <w:b/>
                <w:color w:val="0F172A"/>
                <w:sz w:val="17"/>
              </w:rPr>
              <w:t>FL-1 Wholesale License (MH)</w:t>
            </w:r>
          </w:p>
        </w:tc>
        <w:tc>
          <w:tcPr>
            <w:tcW w:type="dxa" w:w="2016"/>
            <w:shd w:fill="FFFFFF"/>
            <w:tcMar>
              <w:top w:w="80" w:type="dxa"/>
              <w:bottom w:w="80" w:type="dxa"/>
              <w:left w:w="120" w:type="dxa"/>
              <w:right w:w="120" w:type="dxa"/>
            </w:tcMar>
          </w:tcPr>
          <w:p>
            <w:pPr>
              <w:spacing w:after="0"/>
            </w:pPr>
            <w:r>
              <w:rPr>
                <w:color w:val="334155"/>
                <w:sz w:val="17"/>
              </w:rPr>
              <w:t>Maharashtra State Excise</w:t>
            </w:r>
          </w:p>
        </w:tc>
        <w:tc>
          <w:tcPr>
            <w:tcW w:type="dxa" w:w="1296"/>
            <w:shd w:fill="FFFFFF"/>
            <w:tcMar>
              <w:top w:w="80" w:type="dxa"/>
              <w:bottom w:w="80" w:type="dxa"/>
              <w:left w:w="120" w:type="dxa"/>
              <w:right w:w="120" w:type="dxa"/>
            </w:tcMar>
          </w:tcPr>
          <w:p>
            <w:pPr>
              <w:spacing w:after="0"/>
            </w:pPr>
            <w:r>
              <w:rPr>
                <w:color w:val="334155"/>
                <w:sz w:val="17"/>
              </w:rPr>
              <w:t>Maharashtra</w:t>
            </w:r>
          </w:p>
        </w:tc>
        <w:tc>
          <w:tcPr>
            <w:tcW w:type="dxa" w:w="1440"/>
            <w:shd w:fill="FFFFFF"/>
            <w:tcMar>
              <w:top w:w="80" w:type="dxa"/>
              <w:bottom w:w="80" w:type="dxa"/>
              <w:left w:w="120" w:type="dxa"/>
              <w:right w:w="120" w:type="dxa"/>
            </w:tcMar>
          </w:tcPr>
          <w:p>
            <w:pPr>
              <w:spacing w:after="0"/>
            </w:pPr>
            <w:r>
              <w:rPr>
                <w:color w:val="334155"/>
                <w:sz w:val="17"/>
              </w:rPr>
              <w:t>₹12,00,000</w:t>
            </w:r>
          </w:p>
        </w:tc>
        <w:tc>
          <w:tcPr>
            <w:tcW w:type="dxa" w:w="1152"/>
            <w:shd w:fill="FFFFFF"/>
            <w:tcMar>
              <w:top w:w="80" w:type="dxa"/>
              <w:bottom w:w="80" w:type="dxa"/>
              <w:left w:w="120" w:type="dxa"/>
              <w:right w:w="120" w:type="dxa"/>
            </w:tcMar>
          </w:tcPr>
          <w:p>
            <w:pPr>
              <w:spacing w:after="0"/>
            </w:pPr>
            <w:r>
              <w:rPr>
                <w:color w:val="334155"/>
                <w:sz w:val="17"/>
              </w:rPr>
              <w:t>FeraBee Parent</w:t>
            </w:r>
          </w:p>
        </w:tc>
        <w:tc>
          <w:tcPr>
            <w:tcW w:type="dxa" w:w="864"/>
            <w:shd w:fill="FFFFFF"/>
            <w:tcMar>
              <w:top w:w="80" w:type="dxa"/>
              <w:bottom w:w="80" w:type="dxa"/>
              <w:left w:w="120" w:type="dxa"/>
              <w:right w:w="120" w:type="dxa"/>
            </w:tcMar>
          </w:tcPr>
          <w:p>
            <w:pPr>
              <w:spacing w:after="0"/>
            </w:pPr>
            <w:r>
              <w:rPr>
                <w:color w:val="334155"/>
                <w:sz w:val="17"/>
              </w:rPr>
              <w:t>Annual</w:t>
            </w:r>
          </w:p>
        </w:tc>
      </w:tr>
      <w:tr>
        <w:tc>
          <w:tcPr>
            <w:tcW w:type="dxa" w:w="2592"/>
            <w:shd w:fill="F8FAFC"/>
            <w:tcMar>
              <w:top w:w="80" w:type="dxa"/>
              <w:bottom w:w="80" w:type="dxa"/>
              <w:left w:w="120" w:type="dxa"/>
              <w:right w:w="120" w:type="dxa"/>
            </w:tcMar>
          </w:tcPr>
          <w:p>
            <w:pPr>
              <w:spacing w:after="0"/>
            </w:pPr>
            <w:r>
              <w:rPr>
                <w:b/>
                <w:color w:val="0F172A"/>
                <w:sz w:val="17"/>
              </w:rPr>
              <w:t>Inter-State Transport Pass (Pass-2)</w:t>
            </w:r>
          </w:p>
        </w:tc>
        <w:tc>
          <w:tcPr>
            <w:tcW w:type="dxa" w:w="2016"/>
            <w:shd w:fill="F8FAFC"/>
            <w:tcMar>
              <w:top w:w="80" w:type="dxa"/>
              <w:bottom w:w="80" w:type="dxa"/>
              <w:left w:w="120" w:type="dxa"/>
              <w:right w:w="120" w:type="dxa"/>
            </w:tcMar>
          </w:tcPr>
          <w:p>
            <w:pPr>
              <w:spacing w:after="0"/>
            </w:pPr>
            <w:r>
              <w:rPr>
                <w:color w:val="334155"/>
                <w:sz w:val="17"/>
              </w:rPr>
              <w:t>Goa &amp; MH Excise Checkposts</w:t>
            </w:r>
          </w:p>
        </w:tc>
        <w:tc>
          <w:tcPr>
            <w:tcW w:type="dxa" w:w="1296"/>
            <w:shd w:fill="F8FAFC"/>
            <w:tcMar>
              <w:top w:w="80" w:type="dxa"/>
              <w:bottom w:w="80" w:type="dxa"/>
              <w:left w:w="120" w:type="dxa"/>
              <w:right w:w="120" w:type="dxa"/>
            </w:tcMar>
          </w:tcPr>
          <w:p>
            <w:pPr>
              <w:spacing w:after="0"/>
            </w:pPr>
            <w:r>
              <w:rPr>
                <w:color w:val="334155"/>
                <w:sz w:val="17"/>
              </w:rPr>
              <w:t>Inter-State</w:t>
            </w:r>
          </w:p>
        </w:tc>
        <w:tc>
          <w:tcPr>
            <w:tcW w:type="dxa" w:w="1440"/>
            <w:shd w:fill="F8FAFC"/>
            <w:tcMar>
              <w:top w:w="80" w:type="dxa"/>
              <w:bottom w:w="80" w:type="dxa"/>
              <w:left w:w="120" w:type="dxa"/>
              <w:right w:w="120" w:type="dxa"/>
            </w:tcMar>
          </w:tcPr>
          <w:p>
            <w:pPr>
              <w:spacing w:after="0"/>
            </w:pPr>
            <w:r>
              <w:rPr>
                <w:color w:val="334155"/>
                <w:sz w:val="17"/>
              </w:rPr>
              <w:t>₹10–₹15 / case</w:t>
            </w:r>
          </w:p>
        </w:tc>
        <w:tc>
          <w:tcPr>
            <w:tcW w:type="dxa" w:w="1152"/>
            <w:shd w:fill="F8FAFC"/>
            <w:tcMar>
              <w:top w:w="80" w:type="dxa"/>
              <w:bottom w:w="80" w:type="dxa"/>
              <w:left w:w="120" w:type="dxa"/>
              <w:right w:w="120" w:type="dxa"/>
            </w:tcMar>
          </w:tcPr>
          <w:p>
            <w:pPr>
              <w:spacing w:after="0"/>
            </w:pPr>
            <w:r>
              <w:rPr>
                <w:color w:val="334155"/>
                <w:sz w:val="17"/>
              </w:rPr>
              <w:t>FeraBee Parent</w:t>
            </w:r>
          </w:p>
        </w:tc>
        <w:tc>
          <w:tcPr>
            <w:tcW w:type="dxa" w:w="864"/>
            <w:shd w:fill="F8FAFC"/>
            <w:tcMar>
              <w:top w:w="80" w:type="dxa"/>
              <w:bottom w:w="80" w:type="dxa"/>
              <w:left w:w="120" w:type="dxa"/>
              <w:right w:w="120" w:type="dxa"/>
            </w:tcMar>
          </w:tcPr>
          <w:p>
            <w:pPr>
              <w:spacing w:after="0"/>
            </w:pPr>
            <w:r>
              <w:rPr>
                <w:color w:val="334155"/>
                <w:sz w:val="17"/>
              </w:rPr>
              <w:t>Per Consignment</w:t>
            </w:r>
          </w:p>
        </w:tc>
      </w:tr>
      <w:tr>
        <w:tc>
          <w:tcPr>
            <w:tcW w:type="dxa" w:w="2592"/>
            <w:shd w:fill="FFFFFF"/>
            <w:tcMar>
              <w:top w:w="80" w:type="dxa"/>
              <w:bottom w:w="80" w:type="dxa"/>
              <w:left w:w="120" w:type="dxa"/>
              <w:right w:w="120" w:type="dxa"/>
            </w:tcMar>
          </w:tcPr>
          <w:p>
            <w:pPr>
              <w:spacing w:after="0"/>
            </w:pPr>
            <w:r>
              <w:rPr>
                <w:b/>
                <w:color w:val="0F172A"/>
                <w:sz w:val="17"/>
              </w:rPr>
              <w:t>FL-III Hotel / Restaurant Bar</w:t>
            </w:r>
          </w:p>
        </w:tc>
        <w:tc>
          <w:tcPr>
            <w:tcW w:type="dxa" w:w="2016"/>
            <w:shd w:fill="FFFFFF"/>
            <w:tcMar>
              <w:top w:w="80" w:type="dxa"/>
              <w:bottom w:w="80" w:type="dxa"/>
              <w:left w:w="120" w:type="dxa"/>
              <w:right w:w="120" w:type="dxa"/>
            </w:tcMar>
          </w:tcPr>
          <w:p>
            <w:pPr>
              <w:spacing w:after="0"/>
            </w:pPr>
            <w:r>
              <w:rPr>
                <w:color w:val="334155"/>
                <w:sz w:val="17"/>
              </w:rPr>
              <w:t>MH State Excise / Collector</w:t>
            </w:r>
          </w:p>
        </w:tc>
        <w:tc>
          <w:tcPr>
            <w:tcW w:type="dxa" w:w="1296"/>
            <w:shd w:fill="FFFFFF"/>
            <w:tcMar>
              <w:top w:w="80" w:type="dxa"/>
              <w:bottom w:w="80" w:type="dxa"/>
              <w:left w:w="120" w:type="dxa"/>
              <w:right w:w="120" w:type="dxa"/>
            </w:tcMar>
          </w:tcPr>
          <w:p>
            <w:pPr>
              <w:spacing w:after="0"/>
            </w:pPr>
            <w:r>
              <w:rPr>
                <w:color w:val="334155"/>
                <w:sz w:val="17"/>
              </w:rPr>
              <w:t>Maharashtra</w:t>
            </w:r>
          </w:p>
        </w:tc>
        <w:tc>
          <w:tcPr>
            <w:tcW w:type="dxa" w:w="1440"/>
            <w:shd w:fill="FFFFFF"/>
            <w:tcMar>
              <w:top w:w="80" w:type="dxa"/>
              <w:bottom w:w="80" w:type="dxa"/>
              <w:left w:w="120" w:type="dxa"/>
              <w:right w:w="120" w:type="dxa"/>
            </w:tcMar>
          </w:tcPr>
          <w:p>
            <w:pPr>
              <w:spacing w:after="0"/>
            </w:pPr>
            <w:r>
              <w:rPr>
                <w:color w:val="334155"/>
                <w:sz w:val="17"/>
              </w:rPr>
              <w:t>₹6.0L – ₹25.0L</w:t>
            </w:r>
          </w:p>
        </w:tc>
        <w:tc>
          <w:tcPr>
            <w:tcW w:type="dxa" w:w="1152"/>
            <w:shd w:fill="FFFFFF"/>
            <w:tcMar>
              <w:top w:w="80" w:type="dxa"/>
              <w:bottom w:w="80" w:type="dxa"/>
              <w:left w:w="120" w:type="dxa"/>
              <w:right w:w="120" w:type="dxa"/>
            </w:tcMar>
          </w:tcPr>
          <w:p>
            <w:pPr>
              <w:spacing w:after="0"/>
            </w:pPr>
            <w:r>
              <w:rPr>
                <w:color w:val="334155"/>
                <w:sz w:val="17"/>
              </w:rPr>
              <w:t>Franchise Partner</w:t>
            </w:r>
          </w:p>
        </w:tc>
        <w:tc>
          <w:tcPr>
            <w:tcW w:type="dxa" w:w="864"/>
            <w:shd w:fill="FFFFFF"/>
            <w:tcMar>
              <w:top w:w="80" w:type="dxa"/>
              <w:bottom w:w="80" w:type="dxa"/>
              <w:left w:w="120" w:type="dxa"/>
              <w:right w:w="120" w:type="dxa"/>
            </w:tcMar>
          </w:tcPr>
          <w:p>
            <w:pPr>
              <w:spacing w:after="0"/>
            </w:pPr>
            <w:r>
              <w:rPr>
                <w:color w:val="334155"/>
                <w:sz w:val="17"/>
              </w:rPr>
              <w:t>Annual</w:t>
            </w:r>
          </w:p>
        </w:tc>
      </w:tr>
      <w:tr>
        <w:tc>
          <w:tcPr>
            <w:tcW w:type="dxa" w:w="2592"/>
            <w:shd w:fill="F8FAFC"/>
            <w:tcMar>
              <w:top w:w="80" w:type="dxa"/>
              <w:bottom w:w="80" w:type="dxa"/>
              <w:left w:w="120" w:type="dxa"/>
              <w:right w:w="120" w:type="dxa"/>
            </w:tcMar>
          </w:tcPr>
          <w:p>
            <w:pPr>
              <w:spacing w:after="0"/>
            </w:pPr>
            <w:r>
              <w:rPr>
                <w:b/>
                <w:color w:val="0F172A"/>
                <w:sz w:val="17"/>
              </w:rPr>
              <w:t>Goa FL-2 Retail with Bar</w:t>
            </w:r>
          </w:p>
        </w:tc>
        <w:tc>
          <w:tcPr>
            <w:tcW w:type="dxa" w:w="2016"/>
            <w:shd w:fill="F8FAFC"/>
            <w:tcMar>
              <w:top w:w="80" w:type="dxa"/>
              <w:bottom w:w="80" w:type="dxa"/>
              <w:left w:w="120" w:type="dxa"/>
              <w:right w:w="120" w:type="dxa"/>
            </w:tcMar>
          </w:tcPr>
          <w:p>
            <w:pPr>
              <w:spacing w:after="0"/>
            </w:pPr>
            <w:r>
              <w:rPr>
                <w:color w:val="334155"/>
                <w:sz w:val="17"/>
              </w:rPr>
              <w:t>Goa State Excise Dept</w:t>
            </w:r>
          </w:p>
        </w:tc>
        <w:tc>
          <w:tcPr>
            <w:tcW w:type="dxa" w:w="1296"/>
            <w:shd w:fill="F8FAFC"/>
            <w:tcMar>
              <w:top w:w="80" w:type="dxa"/>
              <w:bottom w:w="80" w:type="dxa"/>
              <w:left w:w="120" w:type="dxa"/>
              <w:right w:w="120" w:type="dxa"/>
            </w:tcMar>
          </w:tcPr>
          <w:p>
            <w:pPr>
              <w:spacing w:after="0"/>
            </w:pPr>
            <w:r>
              <w:rPr>
                <w:color w:val="334155"/>
                <w:sz w:val="17"/>
              </w:rPr>
              <w:t>Goa</w:t>
            </w:r>
          </w:p>
        </w:tc>
        <w:tc>
          <w:tcPr>
            <w:tcW w:type="dxa" w:w="1440"/>
            <w:shd w:fill="F8FAFC"/>
            <w:tcMar>
              <w:top w:w="80" w:type="dxa"/>
              <w:bottom w:w="80" w:type="dxa"/>
              <w:left w:w="120" w:type="dxa"/>
              <w:right w:w="120" w:type="dxa"/>
            </w:tcMar>
          </w:tcPr>
          <w:p>
            <w:pPr>
              <w:spacing w:after="0"/>
            </w:pPr>
            <w:r>
              <w:rPr>
                <w:color w:val="334155"/>
                <w:sz w:val="17"/>
              </w:rPr>
              <w:t>₹10,00,000</w:t>
            </w:r>
          </w:p>
        </w:tc>
        <w:tc>
          <w:tcPr>
            <w:tcW w:type="dxa" w:w="1152"/>
            <w:shd w:fill="F8FAFC"/>
            <w:tcMar>
              <w:top w:w="80" w:type="dxa"/>
              <w:bottom w:w="80" w:type="dxa"/>
              <w:left w:w="120" w:type="dxa"/>
              <w:right w:w="120" w:type="dxa"/>
            </w:tcMar>
          </w:tcPr>
          <w:p>
            <w:pPr>
              <w:spacing w:after="0"/>
            </w:pPr>
            <w:r>
              <w:rPr>
                <w:color w:val="334155"/>
                <w:sz w:val="17"/>
              </w:rPr>
              <w:t>Franchise Partner</w:t>
            </w:r>
          </w:p>
        </w:tc>
        <w:tc>
          <w:tcPr>
            <w:tcW w:type="dxa" w:w="864"/>
            <w:shd w:fill="F8FAFC"/>
            <w:tcMar>
              <w:top w:w="80" w:type="dxa"/>
              <w:bottom w:w="80" w:type="dxa"/>
              <w:left w:w="120" w:type="dxa"/>
              <w:right w:w="120" w:type="dxa"/>
            </w:tcMar>
          </w:tcPr>
          <w:p>
            <w:pPr>
              <w:spacing w:after="0"/>
            </w:pPr>
            <w:r>
              <w:rPr>
                <w:color w:val="334155"/>
                <w:sz w:val="17"/>
              </w:rPr>
              <w:t>Annual</w:t>
            </w:r>
          </w:p>
        </w:tc>
      </w:tr>
      <w:tr>
        <w:tc>
          <w:tcPr>
            <w:tcW w:type="dxa" w:w="2592"/>
            <w:shd w:fill="FFFFFF"/>
            <w:tcMar>
              <w:top w:w="80" w:type="dxa"/>
              <w:bottom w:w="80" w:type="dxa"/>
              <w:left w:w="120" w:type="dxa"/>
              <w:right w:w="120" w:type="dxa"/>
            </w:tcMar>
          </w:tcPr>
          <w:p>
            <w:pPr>
              <w:spacing w:after="0"/>
            </w:pPr>
            <w:r>
              <w:rPr>
                <w:b/>
                <w:color w:val="0F172A"/>
                <w:sz w:val="17"/>
              </w:rPr>
              <w:t>FSSAI Central &amp; State License</w:t>
            </w:r>
          </w:p>
        </w:tc>
        <w:tc>
          <w:tcPr>
            <w:tcW w:type="dxa" w:w="2016"/>
            <w:shd w:fill="FFFFFF"/>
            <w:tcMar>
              <w:top w:w="80" w:type="dxa"/>
              <w:bottom w:w="80" w:type="dxa"/>
              <w:left w:w="120" w:type="dxa"/>
              <w:right w:w="120" w:type="dxa"/>
            </w:tcMar>
          </w:tcPr>
          <w:p>
            <w:pPr>
              <w:spacing w:after="0"/>
            </w:pPr>
            <w:r>
              <w:rPr>
                <w:color w:val="334155"/>
                <w:sz w:val="17"/>
              </w:rPr>
              <w:t>Food Safety Authority (FSSAI)</w:t>
            </w:r>
          </w:p>
        </w:tc>
        <w:tc>
          <w:tcPr>
            <w:tcW w:type="dxa" w:w="1296"/>
            <w:shd w:fill="FFFFFF"/>
            <w:tcMar>
              <w:top w:w="80" w:type="dxa"/>
              <w:bottom w:w="80" w:type="dxa"/>
              <w:left w:w="120" w:type="dxa"/>
              <w:right w:w="120" w:type="dxa"/>
            </w:tcMar>
          </w:tcPr>
          <w:p>
            <w:pPr>
              <w:spacing w:after="0"/>
            </w:pPr>
            <w:r>
              <w:rPr>
                <w:color w:val="334155"/>
                <w:sz w:val="17"/>
              </w:rPr>
              <w:t>Pan-India</w:t>
            </w:r>
          </w:p>
        </w:tc>
        <w:tc>
          <w:tcPr>
            <w:tcW w:type="dxa" w:w="1440"/>
            <w:shd w:fill="FFFFFF"/>
            <w:tcMar>
              <w:top w:w="80" w:type="dxa"/>
              <w:bottom w:w="80" w:type="dxa"/>
              <w:left w:w="120" w:type="dxa"/>
              <w:right w:w="120" w:type="dxa"/>
            </w:tcMar>
          </w:tcPr>
          <w:p>
            <w:pPr>
              <w:spacing w:after="0"/>
            </w:pPr>
            <w:r>
              <w:rPr>
                <w:color w:val="334155"/>
                <w:sz w:val="17"/>
              </w:rPr>
              <w:t>₹7,500 / year</w:t>
            </w:r>
          </w:p>
        </w:tc>
        <w:tc>
          <w:tcPr>
            <w:tcW w:type="dxa" w:w="1152"/>
            <w:shd w:fill="FFFFFF"/>
            <w:tcMar>
              <w:top w:w="80" w:type="dxa"/>
              <w:bottom w:w="80" w:type="dxa"/>
              <w:left w:w="120" w:type="dxa"/>
              <w:right w:w="120" w:type="dxa"/>
            </w:tcMar>
          </w:tcPr>
          <w:p>
            <w:pPr>
              <w:spacing w:after="0"/>
            </w:pPr>
            <w:r>
              <w:rPr>
                <w:color w:val="334155"/>
                <w:sz w:val="17"/>
              </w:rPr>
              <w:t>FeraBee &amp; Franchise</w:t>
            </w:r>
          </w:p>
        </w:tc>
        <w:tc>
          <w:tcPr>
            <w:tcW w:type="dxa" w:w="864"/>
            <w:shd w:fill="FFFFFF"/>
            <w:tcMar>
              <w:top w:w="80" w:type="dxa"/>
              <w:bottom w:w="80" w:type="dxa"/>
              <w:left w:w="120" w:type="dxa"/>
              <w:right w:w="120" w:type="dxa"/>
            </w:tcMar>
          </w:tcPr>
          <w:p>
            <w:pPr>
              <w:spacing w:after="0"/>
            </w:pPr>
            <w:r>
              <w:rPr>
                <w:color w:val="334155"/>
                <w:sz w:val="17"/>
              </w:rPr>
              <w:t>5-Year</w:t>
            </w:r>
          </w:p>
        </w:tc>
      </w:tr>
      <w:tr>
        <w:tc>
          <w:tcPr>
            <w:tcW w:type="dxa" w:w="2592"/>
            <w:shd w:fill="F8FAFC"/>
            <w:tcMar>
              <w:top w:w="80" w:type="dxa"/>
              <w:bottom w:w="80" w:type="dxa"/>
              <w:left w:w="120" w:type="dxa"/>
              <w:right w:w="120" w:type="dxa"/>
            </w:tcMar>
          </w:tcPr>
          <w:p>
            <w:pPr>
              <w:spacing w:after="0"/>
            </w:pPr>
            <w:r>
              <w:rPr>
                <w:b/>
                <w:color w:val="0F172A"/>
                <w:sz w:val="17"/>
              </w:rPr>
              <w:t>Pollution Control Board NOC (Consent)</w:t>
            </w:r>
          </w:p>
        </w:tc>
        <w:tc>
          <w:tcPr>
            <w:tcW w:type="dxa" w:w="2016"/>
            <w:shd w:fill="F8FAFC"/>
            <w:tcMar>
              <w:top w:w="80" w:type="dxa"/>
              <w:bottom w:w="80" w:type="dxa"/>
              <w:left w:w="120" w:type="dxa"/>
              <w:right w:w="120" w:type="dxa"/>
            </w:tcMar>
          </w:tcPr>
          <w:p>
            <w:pPr>
              <w:spacing w:after="0"/>
            </w:pPr>
            <w:r>
              <w:rPr>
                <w:color w:val="334155"/>
                <w:sz w:val="17"/>
              </w:rPr>
              <w:t>State Pollution Control Board</w:t>
            </w:r>
          </w:p>
        </w:tc>
        <w:tc>
          <w:tcPr>
            <w:tcW w:type="dxa" w:w="1296"/>
            <w:shd w:fill="F8FAFC"/>
            <w:tcMar>
              <w:top w:w="80" w:type="dxa"/>
              <w:bottom w:w="80" w:type="dxa"/>
              <w:left w:w="120" w:type="dxa"/>
              <w:right w:w="120" w:type="dxa"/>
            </w:tcMar>
          </w:tcPr>
          <w:p>
            <w:pPr>
              <w:spacing w:after="0"/>
            </w:pPr>
            <w:r>
              <w:rPr>
                <w:color w:val="334155"/>
                <w:sz w:val="17"/>
              </w:rPr>
              <w:t>Goa &amp; MH</w:t>
            </w:r>
          </w:p>
        </w:tc>
        <w:tc>
          <w:tcPr>
            <w:tcW w:type="dxa" w:w="1440"/>
            <w:shd w:fill="F8FAFC"/>
            <w:tcMar>
              <w:top w:w="80" w:type="dxa"/>
              <w:bottom w:w="80" w:type="dxa"/>
              <w:left w:w="120" w:type="dxa"/>
              <w:right w:w="120" w:type="dxa"/>
            </w:tcMar>
          </w:tcPr>
          <w:p>
            <w:pPr>
              <w:spacing w:after="0"/>
            </w:pPr>
            <w:r>
              <w:rPr>
                <w:color w:val="334155"/>
                <w:sz w:val="17"/>
              </w:rPr>
              <w:t>₹1,50,000</w:t>
            </w:r>
          </w:p>
        </w:tc>
        <w:tc>
          <w:tcPr>
            <w:tcW w:type="dxa" w:w="1152"/>
            <w:shd w:fill="F8FAFC"/>
            <w:tcMar>
              <w:top w:w="80" w:type="dxa"/>
              <w:bottom w:w="80" w:type="dxa"/>
              <w:left w:w="120" w:type="dxa"/>
              <w:right w:w="120" w:type="dxa"/>
            </w:tcMar>
          </w:tcPr>
          <w:p>
            <w:pPr>
              <w:spacing w:after="0"/>
            </w:pPr>
            <w:r>
              <w:rPr>
                <w:color w:val="334155"/>
                <w:sz w:val="17"/>
              </w:rPr>
              <w:t>Bottler &amp; Franchise</w:t>
            </w:r>
          </w:p>
        </w:tc>
        <w:tc>
          <w:tcPr>
            <w:tcW w:type="dxa" w:w="864"/>
            <w:shd w:fill="F8FAFC"/>
            <w:tcMar>
              <w:top w:w="80" w:type="dxa"/>
              <w:bottom w:w="80" w:type="dxa"/>
              <w:left w:w="120" w:type="dxa"/>
              <w:right w:w="120" w:type="dxa"/>
            </w:tcMar>
          </w:tcPr>
          <w:p>
            <w:pPr>
              <w:spacing w:after="0"/>
            </w:pPr>
            <w:r>
              <w:rPr>
                <w:color w:val="334155"/>
                <w:sz w:val="17"/>
              </w:rPr>
              <w:t>3-Year</w:t>
            </w:r>
          </w:p>
        </w:tc>
      </w:tr>
      <w:tr>
        <w:tc>
          <w:tcPr>
            <w:tcW w:type="dxa" w:w="2592"/>
            <w:shd w:fill="FFFFFF"/>
            <w:tcMar>
              <w:top w:w="80" w:type="dxa"/>
              <w:bottom w:w="80" w:type="dxa"/>
              <w:left w:w="120" w:type="dxa"/>
              <w:right w:w="120" w:type="dxa"/>
            </w:tcMar>
          </w:tcPr>
          <w:p>
            <w:pPr>
              <w:spacing w:after="0"/>
            </w:pPr>
            <w:r>
              <w:rPr>
                <w:b/>
                <w:color w:val="0F172A"/>
                <w:sz w:val="17"/>
              </w:rPr>
              <w:t>Eating House &amp; Fire Dept NOC</w:t>
            </w:r>
          </w:p>
        </w:tc>
        <w:tc>
          <w:tcPr>
            <w:tcW w:type="dxa" w:w="2016"/>
            <w:shd w:fill="FFFFFF"/>
            <w:tcMar>
              <w:top w:w="80" w:type="dxa"/>
              <w:bottom w:w="80" w:type="dxa"/>
              <w:left w:w="120" w:type="dxa"/>
              <w:right w:w="120" w:type="dxa"/>
            </w:tcMar>
          </w:tcPr>
          <w:p>
            <w:pPr>
              <w:spacing w:after="0"/>
            </w:pPr>
            <w:r>
              <w:rPr>
                <w:color w:val="334155"/>
                <w:sz w:val="17"/>
              </w:rPr>
              <w:t>Municipal Corp &amp; Fire Dept</w:t>
            </w:r>
          </w:p>
        </w:tc>
        <w:tc>
          <w:tcPr>
            <w:tcW w:type="dxa" w:w="1296"/>
            <w:shd w:fill="FFFFFF"/>
            <w:tcMar>
              <w:top w:w="80" w:type="dxa"/>
              <w:bottom w:w="80" w:type="dxa"/>
              <w:left w:w="120" w:type="dxa"/>
              <w:right w:w="120" w:type="dxa"/>
            </w:tcMar>
          </w:tcPr>
          <w:p>
            <w:pPr>
              <w:spacing w:after="0"/>
            </w:pPr>
            <w:r>
              <w:rPr>
                <w:color w:val="334155"/>
                <w:sz w:val="17"/>
              </w:rPr>
              <w:t>Local Taluka</w:t>
            </w:r>
          </w:p>
        </w:tc>
        <w:tc>
          <w:tcPr>
            <w:tcW w:type="dxa" w:w="1440"/>
            <w:shd w:fill="FFFFFF"/>
            <w:tcMar>
              <w:top w:w="80" w:type="dxa"/>
              <w:bottom w:w="80" w:type="dxa"/>
              <w:left w:w="120" w:type="dxa"/>
              <w:right w:w="120" w:type="dxa"/>
            </w:tcMar>
          </w:tcPr>
          <w:p>
            <w:pPr>
              <w:spacing w:after="0"/>
            </w:pPr>
            <w:r>
              <w:rPr>
                <w:color w:val="334155"/>
                <w:sz w:val="17"/>
              </w:rPr>
              <w:t>₹85,000</w:t>
            </w:r>
          </w:p>
        </w:tc>
        <w:tc>
          <w:tcPr>
            <w:tcW w:type="dxa" w:w="1152"/>
            <w:shd w:fill="FFFFFF"/>
            <w:tcMar>
              <w:top w:w="80" w:type="dxa"/>
              <w:bottom w:w="80" w:type="dxa"/>
              <w:left w:w="120" w:type="dxa"/>
              <w:right w:w="120" w:type="dxa"/>
            </w:tcMar>
          </w:tcPr>
          <w:p>
            <w:pPr>
              <w:spacing w:after="0"/>
            </w:pPr>
            <w:r>
              <w:rPr>
                <w:color w:val="334155"/>
                <w:sz w:val="17"/>
              </w:rPr>
              <w:t>Franchise Partner</w:t>
            </w:r>
          </w:p>
        </w:tc>
        <w:tc>
          <w:tcPr>
            <w:tcW w:type="dxa" w:w="864"/>
            <w:shd w:fill="FFFFFF"/>
            <w:tcMar>
              <w:top w:w="80" w:type="dxa"/>
              <w:bottom w:w="80" w:type="dxa"/>
              <w:left w:w="120" w:type="dxa"/>
              <w:right w:w="120" w:type="dxa"/>
            </w:tcMar>
          </w:tcPr>
          <w:p>
            <w:pPr>
              <w:spacing w:after="0"/>
            </w:pPr>
            <w:r>
              <w:rPr>
                <w:color w:val="334155"/>
                <w:sz w:val="17"/>
              </w:rPr>
              <w:t>Annual</w:t>
            </w:r>
          </w:p>
        </w:tc>
      </w:tr>
      <w:tr>
        <w:tc>
          <w:tcPr>
            <w:tcW w:type="dxa" w:w="2592"/>
            <w:shd w:fill="F8FAFC"/>
            <w:tcMar>
              <w:top w:w="80" w:type="dxa"/>
              <w:bottom w:w="80" w:type="dxa"/>
              <w:left w:w="120" w:type="dxa"/>
              <w:right w:w="120" w:type="dxa"/>
            </w:tcMar>
          </w:tcPr>
          <w:p>
            <w:pPr>
              <w:spacing w:after="0"/>
            </w:pPr>
            <w:r>
              <w:rPr>
                <w:b/>
                <w:color w:val="0F172A"/>
                <w:sz w:val="17"/>
              </w:rPr>
              <w:t>Trademark Class 32 &amp; 33</w:t>
            </w:r>
          </w:p>
        </w:tc>
        <w:tc>
          <w:tcPr>
            <w:tcW w:type="dxa" w:w="2016"/>
            <w:shd w:fill="F8FAFC"/>
            <w:tcMar>
              <w:top w:w="80" w:type="dxa"/>
              <w:bottom w:w="80" w:type="dxa"/>
              <w:left w:w="120" w:type="dxa"/>
              <w:right w:w="120" w:type="dxa"/>
            </w:tcMar>
          </w:tcPr>
          <w:p>
            <w:pPr>
              <w:spacing w:after="0"/>
            </w:pPr>
            <w:r>
              <w:rPr>
                <w:color w:val="334155"/>
                <w:sz w:val="17"/>
              </w:rPr>
              <w:t>Controller General of Patents</w:t>
            </w:r>
          </w:p>
        </w:tc>
        <w:tc>
          <w:tcPr>
            <w:tcW w:type="dxa" w:w="1296"/>
            <w:shd w:fill="F8FAFC"/>
            <w:tcMar>
              <w:top w:w="80" w:type="dxa"/>
              <w:bottom w:w="80" w:type="dxa"/>
              <w:left w:w="120" w:type="dxa"/>
              <w:right w:w="120" w:type="dxa"/>
            </w:tcMar>
          </w:tcPr>
          <w:p>
            <w:pPr>
              <w:spacing w:after="0"/>
            </w:pPr>
            <w:r>
              <w:rPr>
                <w:color w:val="334155"/>
                <w:sz w:val="17"/>
              </w:rPr>
              <w:t>Pan-India</w:t>
            </w:r>
          </w:p>
        </w:tc>
        <w:tc>
          <w:tcPr>
            <w:tcW w:type="dxa" w:w="1440"/>
            <w:shd w:fill="F8FAFC"/>
            <w:tcMar>
              <w:top w:w="80" w:type="dxa"/>
              <w:bottom w:w="80" w:type="dxa"/>
              <w:left w:w="120" w:type="dxa"/>
              <w:right w:w="120" w:type="dxa"/>
            </w:tcMar>
          </w:tcPr>
          <w:p>
            <w:pPr>
              <w:spacing w:after="0"/>
            </w:pPr>
            <w:r>
              <w:rPr>
                <w:color w:val="334155"/>
                <w:sz w:val="17"/>
              </w:rPr>
              <w:t>₹30,000 (One-time)</w:t>
            </w:r>
          </w:p>
        </w:tc>
        <w:tc>
          <w:tcPr>
            <w:tcW w:type="dxa" w:w="1152"/>
            <w:shd w:fill="F8FAFC"/>
            <w:tcMar>
              <w:top w:w="80" w:type="dxa"/>
              <w:bottom w:w="80" w:type="dxa"/>
              <w:left w:w="120" w:type="dxa"/>
              <w:right w:w="120" w:type="dxa"/>
            </w:tcMar>
          </w:tcPr>
          <w:p>
            <w:pPr>
              <w:spacing w:after="0"/>
            </w:pPr>
            <w:r>
              <w:rPr>
                <w:color w:val="334155"/>
                <w:sz w:val="17"/>
              </w:rPr>
              <w:t>FeraBee Parent</w:t>
            </w:r>
          </w:p>
        </w:tc>
        <w:tc>
          <w:tcPr>
            <w:tcW w:type="dxa" w:w="864"/>
            <w:shd w:fill="F8FAFC"/>
            <w:tcMar>
              <w:top w:w="80" w:type="dxa"/>
              <w:bottom w:w="80" w:type="dxa"/>
              <w:left w:w="120" w:type="dxa"/>
              <w:right w:w="120" w:type="dxa"/>
            </w:tcMar>
          </w:tcPr>
          <w:p>
            <w:pPr>
              <w:spacing w:after="0"/>
            </w:pPr>
            <w:r>
              <w:rPr>
                <w:color w:val="334155"/>
                <w:sz w:val="17"/>
              </w:rPr>
              <w:t>10-Year</w:t>
            </w:r>
          </w:p>
        </w:tc>
      </w:tr>
    </w:tbl>
    <w:p>
      <w:pPr>
        <w:keepNext/>
        <w:spacing w:before="360" w:after="120"/>
        <w:pBdr>
          <w:bottom w:val="single" w:sz="12" w:space="4" w:color="D97706"/>
        </w:pBdr>
      </w:pPr>
      <w:r>
        <w:rPr>
          <w:rFonts w:ascii="Calibri" w:hAnsi="Calibri"/>
          <w:b/>
          <w:color w:val="0F172A"/>
          <w:sz w:val="29"/>
        </w:rPr>
        <w:t>3. Multi-State Brand &amp; Label Registration Architecture</w:t>
      </w:r>
    </w:p>
    <w:p>
      <w:r>
        <w:t>Under state excise rules, no alcoholic beverage SKU may be manufactured, imported, distributed, or sold without prior approval and annual registration of its brand name, formulation, packaging format, and label artwork with the respective State Excise Commissioner.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E293B"/>
            <w:tcMar>
              <w:top w:w="100" w:type="dxa"/>
              <w:bottom w:w="100" w:type="dxa"/>
              <w:left w:w="120" w:type="dxa"/>
              <w:right w:w="120" w:type="dxa"/>
            </w:tcMar>
          </w:tcPr>
          <w:p>
            <w:pPr>
              <w:jc w:val="left"/>
            </w:pPr>
            <w:r>
              <w:rPr>
                <w:b/>
                <w:color w:val="FFFFFF"/>
                <w:sz w:val="18"/>
              </w:rPr>
              <w:t>State / Market</w:t>
            </w:r>
          </w:p>
        </w:tc>
        <w:tc>
          <w:tcPr>
            <w:tcW w:type="dxa" w:w="2016"/>
            <w:shd w:fill="1E293B"/>
            <w:tcMar>
              <w:top w:w="100" w:type="dxa"/>
              <w:bottom w:w="100" w:type="dxa"/>
              <w:left w:w="120" w:type="dxa"/>
              <w:right w:w="120" w:type="dxa"/>
            </w:tcMar>
          </w:tcPr>
          <w:p>
            <w:pPr>
              <w:jc w:val="left"/>
            </w:pPr>
            <w:r>
              <w:rPr>
                <w:b/>
                <w:color w:val="FFFFFF"/>
                <w:sz w:val="18"/>
              </w:rPr>
              <w:t>Label Registration Fee / SKU</w:t>
            </w:r>
          </w:p>
        </w:tc>
        <w:tc>
          <w:tcPr>
            <w:tcW w:type="dxa" w:w="1584"/>
            <w:shd w:fill="1E293B"/>
            <w:tcMar>
              <w:top w:w="100" w:type="dxa"/>
              <w:bottom w:w="100" w:type="dxa"/>
              <w:left w:w="120" w:type="dxa"/>
              <w:right w:w="120" w:type="dxa"/>
            </w:tcMar>
          </w:tcPr>
          <w:p>
            <w:pPr>
              <w:jc w:val="left"/>
            </w:pPr>
            <w:r>
              <w:rPr>
                <w:b/>
                <w:color w:val="FFFFFF"/>
                <w:sz w:val="18"/>
              </w:rPr>
              <w:t>Renewal Fee / Year</w:t>
            </w:r>
          </w:p>
        </w:tc>
        <w:tc>
          <w:tcPr>
            <w:tcW w:type="dxa" w:w="1584"/>
            <w:shd w:fill="1E293B"/>
            <w:tcMar>
              <w:top w:w="100" w:type="dxa"/>
              <w:bottom w:w="100" w:type="dxa"/>
              <w:left w:w="120" w:type="dxa"/>
              <w:right w:w="120" w:type="dxa"/>
            </w:tcMar>
          </w:tcPr>
          <w:p>
            <w:pPr>
              <w:jc w:val="left"/>
            </w:pPr>
            <w:r>
              <w:rPr>
                <w:b/>
                <w:color w:val="FFFFFF"/>
                <w:sz w:val="18"/>
              </w:rPr>
              <w:t>24 Label Budget (₹)</w:t>
            </w:r>
          </w:p>
        </w:tc>
        <w:tc>
          <w:tcPr>
            <w:tcW w:type="dxa" w:w="2448"/>
            <w:shd w:fill="1E293B"/>
            <w:tcMar>
              <w:top w:w="100" w:type="dxa"/>
              <w:bottom w:w="100" w:type="dxa"/>
              <w:left w:w="120" w:type="dxa"/>
              <w:right w:w="120" w:type="dxa"/>
            </w:tcMar>
          </w:tcPr>
          <w:p>
            <w:pPr>
              <w:jc w:val="left"/>
            </w:pPr>
            <w:r>
              <w:rPr>
                <w:b/>
                <w:color w:val="FFFFFF"/>
                <w:sz w:val="18"/>
              </w:rPr>
              <w:t>Statutory Mandates</w:t>
            </w:r>
          </w:p>
        </w:tc>
      </w:tr>
      <w:tr>
        <w:tc>
          <w:tcPr>
            <w:tcW w:type="dxa" w:w="1728"/>
            <w:shd w:fill="FFFFFF"/>
            <w:tcMar>
              <w:top w:w="80" w:type="dxa"/>
              <w:bottom w:w="80" w:type="dxa"/>
              <w:left w:w="120" w:type="dxa"/>
              <w:right w:w="120" w:type="dxa"/>
            </w:tcMar>
          </w:tcPr>
          <w:p>
            <w:pPr>
              <w:spacing w:after="0"/>
            </w:pPr>
            <w:r>
              <w:rPr>
                <w:b/>
                <w:color w:val="0F172A"/>
                <w:sz w:val="17"/>
              </w:rPr>
              <w:t>Goa State</w:t>
            </w:r>
          </w:p>
        </w:tc>
        <w:tc>
          <w:tcPr>
            <w:tcW w:type="dxa" w:w="2016"/>
            <w:shd w:fill="FFFFFF"/>
            <w:tcMar>
              <w:top w:w="80" w:type="dxa"/>
              <w:bottom w:w="80" w:type="dxa"/>
              <w:left w:w="120" w:type="dxa"/>
              <w:right w:w="120" w:type="dxa"/>
            </w:tcMar>
          </w:tcPr>
          <w:p>
            <w:pPr>
              <w:spacing w:after="0"/>
            </w:pPr>
            <w:r>
              <w:rPr>
                <w:color w:val="334155"/>
                <w:sz w:val="17"/>
              </w:rPr>
              <w:t>₹12,000 per pack size</w:t>
            </w:r>
          </w:p>
        </w:tc>
        <w:tc>
          <w:tcPr>
            <w:tcW w:type="dxa" w:w="1584"/>
            <w:shd w:fill="FFFFFF"/>
            <w:tcMar>
              <w:top w:w="80" w:type="dxa"/>
              <w:bottom w:w="80" w:type="dxa"/>
              <w:left w:w="120" w:type="dxa"/>
              <w:right w:w="120" w:type="dxa"/>
            </w:tcMar>
          </w:tcPr>
          <w:p>
            <w:pPr>
              <w:spacing w:after="0"/>
            </w:pPr>
            <w:r>
              <w:rPr>
                <w:color w:val="334155"/>
                <w:sz w:val="17"/>
              </w:rPr>
              <w:t>₹6,000 / year</w:t>
            </w:r>
          </w:p>
        </w:tc>
        <w:tc>
          <w:tcPr>
            <w:tcW w:type="dxa" w:w="1584"/>
            <w:shd w:fill="FFFFFF"/>
            <w:tcMar>
              <w:top w:w="80" w:type="dxa"/>
              <w:bottom w:w="80" w:type="dxa"/>
              <w:left w:w="120" w:type="dxa"/>
              <w:right w:w="120" w:type="dxa"/>
            </w:tcMar>
          </w:tcPr>
          <w:p>
            <w:pPr>
              <w:spacing w:after="0"/>
            </w:pPr>
            <w:r>
              <w:rPr>
                <w:color w:val="334155"/>
                <w:sz w:val="17"/>
              </w:rPr>
              <w:t>₹2,88,000</w:t>
            </w:r>
          </w:p>
        </w:tc>
        <w:tc>
          <w:tcPr>
            <w:tcW w:type="dxa" w:w="2448"/>
            <w:shd w:fill="FFFFFF"/>
            <w:tcMar>
              <w:top w:w="80" w:type="dxa"/>
              <w:bottom w:w="80" w:type="dxa"/>
              <w:left w:w="120" w:type="dxa"/>
              <w:right w:w="120" w:type="dxa"/>
            </w:tcMar>
          </w:tcPr>
          <w:p>
            <w:pPr>
              <w:spacing w:after="0"/>
            </w:pPr>
            <w:r>
              <w:rPr>
                <w:color w:val="334155"/>
                <w:sz w:val="17"/>
              </w:rPr>
              <w:t>GEMS Portal barcode, Goa hologram</w:t>
            </w:r>
          </w:p>
        </w:tc>
      </w:tr>
      <w:tr>
        <w:tc>
          <w:tcPr>
            <w:tcW w:type="dxa" w:w="1728"/>
            <w:shd w:fill="F8FAFC"/>
            <w:tcMar>
              <w:top w:w="80" w:type="dxa"/>
              <w:bottom w:w="80" w:type="dxa"/>
              <w:left w:w="120" w:type="dxa"/>
              <w:right w:w="120" w:type="dxa"/>
            </w:tcMar>
          </w:tcPr>
          <w:p>
            <w:pPr>
              <w:spacing w:after="0"/>
            </w:pPr>
            <w:r>
              <w:rPr>
                <w:b/>
                <w:color w:val="0F172A"/>
                <w:sz w:val="17"/>
              </w:rPr>
              <w:t>Maharashtra</w:t>
            </w:r>
          </w:p>
        </w:tc>
        <w:tc>
          <w:tcPr>
            <w:tcW w:type="dxa" w:w="2016"/>
            <w:shd w:fill="F8FAFC"/>
            <w:tcMar>
              <w:top w:w="80" w:type="dxa"/>
              <w:bottom w:w="80" w:type="dxa"/>
              <w:left w:w="120" w:type="dxa"/>
              <w:right w:w="120" w:type="dxa"/>
            </w:tcMar>
          </w:tcPr>
          <w:p>
            <w:pPr>
              <w:spacing w:after="0"/>
            </w:pPr>
            <w:r>
              <w:rPr>
                <w:color w:val="334155"/>
                <w:sz w:val="17"/>
              </w:rPr>
              <w:t>₹10,000 (First 10) / ₹5,000 beyond</w:t>
            </w:r>
          </w:p>
        </w:tc>
        <w:tc>
          <w:tcPr>
            <w:tcW w:type="dxa" w:w="1584"/>
            <w:shd w:fill="F8FAFC"/>
            <w:tcMar>
              <w:top w:w="80" w:type="dxa"/>
              <w:bottom w:w="80" w:type="dxa"/>
              <w:left w:w="120" w:type="dxa"/>
              <w:right w:w="120" w:type="dxa"/>
            </w:tcMar>
          </w:tcPr>
          <w:p>
            <w:pPr>
              <w:spacing w:after="0"/>
            </w:pPr>
            <w:r>
              <w:rPr>
                <w:color w:val="334155"/>
                <w:sz w:val="17"/>
              </w:rPr>
              <w:t>₹10,000 / SKU</w:t>
            </w:r>
          </w:p>
        </w:tc>
        <w:tc>
          <w:tcPr>
            <w:tcW w:type="dxa" w:w="1584"/>
            <w:shd w:fill="F8FAFC"/>
            <w:tcMar>
              <w:top w:w="80" w:type="dxa"/>
              <w:bottom w:w="80" w:type="dxa"/>
              <w:left w:w="120" w:type="dxa"/>
              <w:right w:w="120" w:type="dxa"/>
            </w:tcMar>
          </w:tcPr>
          <w:p>
            <w:pPr>
              <w:spacing w:after="0"/>
            </w:pPr>
            <w:r>
              <w:rPr>
                <w:color w:val="334155"/>
                <w:sz w:val="17"/>
              </w:rPr>
              <w:t>₹3,00,000</w:t>
            </w:r>
          </w:p>
        </w:tc>
        <w:tc>
          <w:tcPr>
            <w:tcW w:type="dxa" w:w="2448"/>
            <w:shd w:fill="F8FAFC"/>
            <w:tcMar>
              <w:top w:w="80" w:type="dxa"/>
              <w:bottom w:w="80" w:type="dxa"/>
              <w:left w:w="120" w:type="dxa"/>
              <w:right w:w="120" w:type="dxa"/>
            </w:tcMar>
          </w:tcPr>
          <w:p>
            <w:pPr>
              <w:spacing w:after="0"/>
            </w:pPr>
            <w:r>
              <w:rPr>
                <w:color w:val="334155"/>
                <w:sz w:val="17"/>
              </w:rPr>
              <w:t>'FOR SALE IN MAHARASHTRA ONLY', Marathi text</w:t>
            </w:r>
          </w:p>
        </w:tc>
      </w:tr>
      <w:tr>
        <w:tc>
          <w:tcPr>
            <w:tcW w:type="dxa" w:w="1728"/>
            <w:shd w:fill="FFFFFF"/>
            <w:tcMar>
              <w:top w:w="80" w:type="dxa"/>
              <w:bottom w:w="80" w:type="dxa"/>
              <w:left w:w="120" w:type="dxa"/>
              <w:right w:w="120" w:type="dxa"/>
            </w:tcMar>
          </w:tcPr>
          <w:p>
            <w:pPr>
              <w:spacing w:after="0"/>
            </w:pPr>
            <w:r>
              <w:rPr>
                <w:b/>
                <w:color w:val="0F172A"/>
                <w:sz w:val="17"/>
              </w:rPr>
              <w:t>Karnataka</w:t>
            </w:r>
          </w:p>
        </w:tc>
        <w:tc>
          <w:tcPr>
            <w:tcW w:type="dxa" w:w="2016"/>
            <w:shd w:fill="FFFFFF"/>
            <w:tcMar>
              <w:top w:w="80" w:type="dxa"/>
              <w:bottom w:w="80" w:type="dxa"/>
              <w:left w:w="120" w:type="dxa"/>
              <w:right w:w="120" w:type="dxa"/>
            </w:tcMar>
          </w:tcPr>
          <w:p>
            <w:pPr>
              <w:spacing w:after="0"/>
            </w:pPr>
            <w:r>
              <w:rPr>
                <w:color w:val="334155"/>
                <w:sz w:val="17"/>
              </w:rPr>
              <w:t>₹1,00,000 per pack size</w:t>
            </w:r>
          </w:p>
        </w:tc>
        <w:tc>
          <w:tcPr>
            <w:tcW w:type="dxa" w:w="1584"/>
            <w:shd w:fill="FFFFFF"/>
            <w:tcMar>
              <w:top w:w="80" w:type="dxa"/>
              <w:bottom w:w="80" w:type="dxa"/>
              <w:left w:w="120" w:type="dxa"/>
              <w:right w:w="120" w:type="dxa"/>
            </w:tcMar>
          </w:tcPr>
          <w:p>
            <w:pPr>
              <w:spacing w:after="0"/>
            </w:pPr>
            <w:r>
              <w:rPr>
                <w:color w:val="334155"/>
                <w:sz w:val="17"/>
              </w:rPr>
              <w:t>₹50,000 / SKU</w:t>
            </w:r>
          </w:p>
        </w:tc>
        <w:tc>
          <w:tcPr>
            <w:tcW w:type="dxa" w:w="1584"/>
            <w:shd w:fill="FFFFFF"/>
            <w:tcMar>
              <w:top w:w="80" w:type="dxa"/>
              <w:bottom w:w="80" w:type="dxa"/>
              <w:left w:w="120" w:type="dxa"/>
              <w:right w:w="120" w:type="dxa"/>
            </w:tcMar>
          </w:tcPr>
          <w:p>
            <w:pPr>
              <w:spacing w:after="0"/>
            </w:pPr>
            <w:r>
              <w:rPr>
                <w:color w:val="334155"/>
                <w:sz w:val="17"/>
              </w:rPr>
              <w:t>₹8,00,000</w:t>
            </w:r>
          </w:p>
        </w:tc>
        <w:tc>
          <w:tcPr>
            <w:tcW w:type="dxa" w:w="2448"/>
            <w:shd w:fill="FFFFFF"/>
            <w:tcMar>
              <w:top w:w="80" w:type="dxa"/>
              <w:bottom w:w="80" w:type="dxa"/>
              <w:left w:w="120" w:type="dxa"/>
              <w:right w:w="120" w:type="dxa"/>
            </w:tcMar>
          </w:tcPr>
          <w:p>
            <w:pPr>
              <w:spacing w:after="0"/>
            </w:pPr>
            <w:r>
              <w:rPr>
                <w:color w:val="334155"/>
                <w:sz w:val="17"/>
              </w:rPr>
              <w:t>KSBCL supply portal integration</w:t>
            </w:r>
          </w:p>
        </w:tc>
      </w:tr>
      <w:tr>
        <w:tc>
          <w:tcPr>
            <w:tcW w:type="dxa" w:w="1728"/>
            <w:shd w:fill="F8FAFC"/>
            <w:tcMar>
              <w:top w:w="80" w:type="dxa"/>
              <w:bottom w:w="80" w:type="dxa"/>
              <w:left w:w="120" w:type="dxa"/>
              <w:right w:w="120" w:type="dxa"/>
            </w:tcMar>
          </w:tcPr>
          <w:p>
            <w:pPr>
              <w:spacing w:after="0"/>
            </w:pPr>
            <w:r>
              <w:rPr>
                <w:b/>
                <w:color w:val="0F172A"/>
                <w:sz w:val="17"/>
              </w:rPr>
              <w:t>Delhi NCR</w:t>
            </w:r>
          </w:p>
        </w:tc>
        <w:tc>
          <w:tcPr>
            <w:tcW w:type="dxa" w:w="2016"/>
            <w:shd w:fill="F8FAFC"/>
            <w:tcMar>
              <w:top w:w="80" w:type="dxa"/>
              <w:bottom w:w="80" w:type="dxa"/>
              <w:left w:w="120" w:type="dxa"/>
              <w:right w:w="120" w:type="dxa"/>
            </w:tcMar>
          </w:tcPr>
          <w:p>
            <w:pPr>
              <w:spacing w:after="0"/>
            </w:pPr>
            <w:r>
              <w:rPr>
                <w:color w:val="334155"/>
                <w:sz w:val="17"/>
              </w:rPr>
              <w:t>₹20,000 + 1% wholesale value</w:t>
            </w:r>
          </w:p>
        </w:tc>
        <w:tc>
          <w:tcPr>
            <w:tcW w:type="dxa" w:w="1584"/>
            <w:shd w:fill="F8FAFC"/>
            <w:tcMar>
              <w:top w:w="80" w:type="dxa"/>
              <w:bottom w:w="80" w:type="dxa"/>
              <w:left w:w="120" w:type="dxa"/>
              <w:right w:w="120" w:type="dxa"/>
            </w:tcMar>
          </w:tcPr>
          <w:p>
            <w:pPr>
              <w:spacing w:after="0"/>
            </w:pPr>
            <w:r>
              <w:rPr>
                <w:color w:val="334155"/>
                <w:sz w:val="17"/>
              </w:rPr>
              <w:t>₹20,000 / SKU</w:t>
            </w:r>
          </w:p>
        </w:tc>
        <w:tc>
          <w:tcPr>
            <w:tcW w:type="dxa" w:w="1584"/>
            <w:shd w:fill="F8FAFC"/>
            <w:tcMar>
              <w:top w:w="80" w:type="dxa"/>
              <w:bottom w:w="80" w:type="dxa"/>
              <w:left w:w="120" w:type="dxa"/>
              <w:right w:w="120" w:type="dxa"/>
            </w:tcMar>
          </w:tcPr>
          <w:p>
            <w:pPr>
              <w:spacing w:after="0"/>
            </w:pPr>
            <w:r>
              <w:rPr>
                <w:color w:val="334155"/>
                <w:sz w:val="17"/>
              </w:rPr>
              <w:t>₹5,00,000</w:t>
            </w:r>
          </w:p>
        </w:tc>
        <w:tc>
          <w:tcPr>
            <w:tcW w:type="dxa" w:w="2448"/>
            <w:shd w:fill="F8FAFC"/>
            <w:tcMar>
              <w:top w:w="80" w:type="dxa"/>
              <w:bottom w:w="80" w:type="dxa"/>
              <w:left w:w="120" w:type="dxa"/>
              <w:right w:w="120" w:type="dxa"/>
            </w:tcMar>
          </w:tcPr>
          <w:p>
            <w:pPr>
              <w:spacing w:after="0"/>
            </w:pPr>
            <w:r>
              <w:rPr>
                <w:color w:val="334155"/>
                <w:sz w:val="17"/>
              </w:rPr>
              <w:t>DSIIDC approved barcode tracking</w:t>
            </w:r>
          </w:p>
        </w:tc>
      </w:tr>
      <w:tr>
        <w:tc>
          <w:tcPr>
            <w:tcW w:type="dxa" w:w="1728"/>
            <w:shd w:fill="FFFFFF"/>
            <w:tcMar>
              <w:top w:w="80" w:type="dxa"/>
              <w:bottom w:w="80" w:type="dxa"/>
              <w:left w:w="120" w:type="dxa"/>
              <w:right w:w="120" w:type="dxa"/>
            </w:tcMar>
          </w:tcPr>
          <w:p>
            <w:pPr>
              <w:spacing w:after="0"/>
            </w:pPr>
            <w:r>
              <w:rPr>
                <w:b/>
                <w:color w:val="0F172A"/>
                <w:sz w:val="17"/>
              </w:rPr>
              <w:t>TOTAL BUDGET</w:t>
            </w:r>
          </w:p>
        </w:tc>
        <w:tc>
          <w:tcPr>
            <w:tcW w:type="dxa" w:w="2016"/>
            <w:shd w:fill="FFFFFF"/>
            <w:tcMar>
              <w:top w:w="80" w:type="dxa"/>
              <w:bottom w:w="80" w:type="dxa"/>
              <w:left w:w="120" w:type="dxa"/>
              <w:right w:w="120" w:type="dxa"/>
            </w:tcMar>
          </w:tcPr>
          <w:p>
            <w:pPr>
              <w:spacing w:after="0"/>
            </w:pPr>
            <w:r>
              <w:rPr>
                <w:color w:val="334155"/>
                <w:sz w:val="17"/>
              </w:rPr>
              <w:t>Phase 1: Goa + MH Priority</w:t>
            </w:r>
          </w:p>
        </w:tc>
        <w:tc>
          <w:tcPr>
            <w:tcW w:type="dxa" w:w="1584"/>
            <w:shd w:fill="FFFFFF"/>
            <w:tcMar>
              <w:top w:w="80" w:type="dxa"/>
              <w:bottom w:w="80" w:type="dxa"/>
              <w:left w:w="120" w:type="dxa"/>
              <w:right w:w="120" w:type="dxa"/>
            </w:tcMar>
          </w:tcPr>
          <w:p>
            <w:pPr>
              <w:spacing w:after="0"/>
            </w:pPr>
            <w:r>
              <w:rPr>
                <w:color w:val="334155"/>
                <w:sz w:val="17"/>
              </w:rPr>
              <w:t>₹1.5L – ₹2.0L</w:t>
            </w:r>
          </w:p>
        </w:tc>
        <w:tc>
          <w:tcPr>
            <w:tcW w:type="dxa" w:w="1584"/>
            <w:shd w:fill="FFFFFF"/>
            <w:tcMar>
              <w:top w:w="80" w:type="dxa"/>
              <w:bottom w:w="80" w:type="dxa"/>
              <w:left w:w="120" w:type="dxa"/>
              <w:right w:w="120" w:type="dxa"/>
            </w:tcMar>
          </w:tcPr>
          <w:p>
            <w:pPr>
              <w:spacing w:after="0"/>
            </w:pPr>
            <w:r>
              <w:rPr>
                <w:color w:val="334155"/>
                <w:sz w:val="17"/>
              </w:rPr>
              <w:t>₹18,88,000</w:t>
            </w:r>
          </w:p>
        </w:tc>
        <w:tc>
          <w:tcPr>
            <w:tcW w:type="dxa" w:w="2448"/>
            <w:shd w:fill="FFFFFF"/>
            <w:tcMar>
              <w:top w:w="80" w:type="dxa"/>
              <w:bottom w:w="80" w:type="dxa"/>
              <w:left w:w="120" w:type="dxa"/>
              <w:right w:w="120" w:type="dxa"/>
            </w:tcMar>
          </w:tcPr>
          <w:p>
            <w:pPr>
              <w:spacing w:after="0"/>
            </w:pPr>
            <w:r>
              <w:rPr>
                <w:color w:val="334155"/>
                <w:sz w:val="17"/>
              </w:rPr>
              <w:t>Allocated from ₹2.0 Cr Company License Budget</w:t>
            </w:r>
          </w:p>
        </w:tc>
      </w:tr>
    </w:tbl>
    <w:p>
      <w:pPr>
        <w:keepNext/>
        <w:spacing w:before="240" w:after="80"/>
      </w:pPr>
      <w:r>
        <w:rPr>
          <w:rFonts w:ascii="Calibri" w:hAnsi="Calibri"/>
          <w:b/>
          <w:color w:val="1E3A8A"/>
          <w:sz w:val="24"/>
        </w:rPr>
        <w:t>3.1 Mandatory Label Warnings &amp; Typography Requirements</w:t>
      </w:r>
    </w:p>
    <w:p>
      <w:r>
        <w:t>All FeraBee labels (Whisky, Vodka, Gin, Rum, Beer, Wine) must incorporate the following statutory elements printed in bold, sans-serif type of minimum 3mm font height:</w:t>
        <w:br/>
        <w:t>1. Statutory Health Warning: 'CONSUMPTION OF ALCOHOL IS INJURIOUS TO HEALTH' (English) &amp; 'मद्यपान आरोग्यास हानिकारक आहे' (Marathi).</w:t>
        <w:br/>
        <w:t>2. Anti-DUI Warning: 'BE SAFE — DON'T DRINK AND DRIVE'.</w:t>
        <w:br/>
        <w:t>3. Mandatory Territorial Restriction: 'FOR SALE IN MAHARASHTRA ONLY' (or 'FOR SALE IN GOA ONLY').</w:t>
        <w:br/>
        <w:t>4. Producer Metadata: FSSAI License Number, Batch Number, Manufacturing Date, Alcohol Strength (% v/v), and Customer Care Address.</w:t>
      </w:r>
    </w:p>
    <w:p>
      <w:pPr>
        <w:keepNext/>
        <w:spacing w:before="360" w:after="120"/>
        <w:pBdr>
          <w:bottom w:val="single" w:sz="12" w:space="4" w:color="D97706"/>
        </w:pBdr>
      </w:pPr>
      <w:r>
        <w:rPr>
          <w:rFonts w:ascii="Calibri" w:hAnsi="Calibri"/>
          <w:b/>
          <w:color w:val="0F172A"/>
          <w:sz w:val="29"/>
        </w:rPr>
        <w:t>4. Inter-State Fiscal Transit Workflow (Goa to Maharashtra)</w:t>
      </w:r>
    </w:p>
    <w:p>
      <w:r>
        <w:t>The physical movement of FeraBee spirits from the bottling distillery in Goa to the 355 Taluka Bee Lounges in Maharashtra follows a strict four-stage statutory workflow:</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Mar>
              <w:top w:w="100" w:type="dxa"/>
              <w:bottom w:w="100" w:type="dxa"/>
              <w:left w:w="120" w:type="dxa"/>
              <w:right w:w="120" w:type="dxa"/>
            </w:tcMar>
          </w:tcPr>
          <w:p>
            <w:pPr>
              <w:jc w:val="left"/>
            </w:pPr>
            <w:r>
              <w:rPr>
                <w:b/>
                <w:color w:val="FFFFFF"/>
                <w:sz w:val="18"/>
              </w:rPr>
              <w:t>Transit Stage</w:t>
            </w:r>
          </w:p>
        </w:tc>
        <w:tc>
          <w:tcPr>
            <w:tcW w:type="dxa" w:w="2880"/>
            <w:shd w:fill="1E293B"/>
            <w:tcMar>
              <w:top w:w="100" w:type="dxa"/>
              <w:bottom w:w="100" w:type="dxa"/>
              <w:left w:w="120" w:type="dxa"/>
              <w:right w:w="120" w:type="dxa"/>
            </w:tcMar>
          </w:tcPr>
          <w:p>
            <w:pPr>
              <w:jc w:val="left"/>
            </w:pPr>
            <w:r>
              <w:rPr>
                <w:b/>
                <w:color w:val="FFFFFF"/>
                <w:sz w:val="18"/>
              </w:rPr>
              <w:t>Regulatory Procedure &amp; Filing</w:t>
            </w:r>
          </w:p>
        </w:tc>
        <w:tc>
          <w:tcPr>
            <w:tcW w:type="dxa" w:w="2592"/>
            <w:shd w:fill="1E293B"/>
            <w:tcMar>
              <w:top w:w="100" w:type="dxa"/>
              <w:bottom w:w="100" w:type="dxa"/>
              <w:left w:w="120" w:type="dxa"/>
              <w:right w:w="120" w:type="dxa"/>
            </w:tcMar>
          </w:tcPr>
          <w:p>
            <w:pPr>
              <w:jc w:val="left"/>
            </w:pPr>
            <w:r>
              <w:rPr>
                <w:b/>
                <w:color w:val="FFFFFF"/>
                <w:sz w:val="18"/>
              </w:rPr>
              <w:t>Associated Statutory Duties &amp; Fees</w:t>
            </w:r>
          </w:p>
        </w:tc>
        <w:tc>
          <w:tcPr>
            <w:tcW w:type="dxa" w:w="2160"/>
            <w:shd w:fill="1E293B"/>
            <w:tcMar>
              <w:top w:w="100" w:type="dxa"/>
              <w:bottom w:w="100" w:type="dxa"/>
              <w:left w:w="120" w:type="dxa"/>
              <w:right w:w="120" w:type="dxa"/>
            </w:tcMar>
          </w:tcPr>
          <w:p>
            <w:pPr>
              <w:jc w:val="left"/>
            </w:pPr>
            <w:r>
              <w:rPr>
                <w:b/>
                <w:color w:val="FFFFFF"/>
                <w:sz w:val="18"/>
              </w:rPr>
              <w:t>Enforcement Checkpoints</w:t>
            </w:r>
          </w:p>
        </w:tc>
      </w:tr>
      <w:tr>
        <w:tc>
          <w:tcPr>
            <w:tcW w:type="dxa" w:w="1728"/>
            <w:shd w:fill="FFFFFF"/>
            <w:tcMar>
              <w:top w:w="80" w:type="dxa"/>
              <w:bottom w:w="80" w:type="dxa"/>
              <w:left w:w="120" w:type="dxa"/>
              <w:right w:w="120" w:type="dxa"/>
            </w:tcMar>
          </w:tcPr>
          <w:p>
            <w:pPr>
              <w:spacing w:after="0"/>
            </w:pPr>
            <w:r>
              <w:rPr>
                <w:b/>
                <w:color w:val="0F172A"/>
                <w:sz w:val="17"/>
              </w:rPr>
              <w:t>1. Goa Distillery Clearance</w:t>
            </w:r>
          </w:p>
        </w:tc>
        <w:tc>
          <w:tcPr>
            <w:tcW w:type="dxa" w:w="2880"/>
            <w:shd w:fill="FFFFFF"/>
            <w:tcMar>
              <w:top w:w="80" w:type="dxa"/>
              <w:bottom w:w="80" w:type="dxa"/>
              <w:left w:w="120" w:type="dxa"/>
              <w:right w:w="120" w:type="dxa"/>
            </w:tcMar>
          </w:tcPr>
          <w:p>
            <w:pPr>
              <w:spacing w:after="0"/>
            </w:pPr>
            <w:r>
              <w:rPr>
                <w:color w:val="334155"/>
                <w:sz w:val="17"/>
              </w:rPr>
              <w:t>Bottling permit generated via Goa Excise Management System (GEMS). Bonded stock release requisition.</w:t>
            </w:r>
          </w:p>
        </w:tc>
        <w:tc>
          <w:tcPr>
            <w:tcW w:type="dxa" w:w="2592"/>
            <w:shd w:fill="FFFFFF"/>
            <w:tcMar>
              <w:top w:w="80" w:type="dxa"/>
              <w:bottom w:w="80" w:type="dxa"/>
              <w:left w:w="120" w:type="dxa"/>
              <w:right w:w="120" w:type="dxa"/>
            </w:tcMar>
          </w:tcPr>
          <w:p>
            <w:pPr>
              <w:spacing w:after="0"/>
            </w:pPr>
            <w:r>
              <w:rPr>
                <w:color w:val="334155"/>
                <w:sz w:val="17"/>
              </w:rPr>
              <w:t>Payment of Goa Export Duty (~₹10–₹15 per 9L case) to Goa State Treasury.</w:t>
            </w:r>
          </w:p>
        </w:tc>
        <w:tc>
          <w:tcPr>
            <w:tcW w:type="dxa" w:w="2160"/>
            <w:shd w:fill="FFFFFF"/>
            <w:tcMar>
              <w:top w:w="80" w:type="dxa"/>
              <w:bottom w:w="80" w:type="dxa"/>
              <w:left w:w="120" w:type="dxa"/>
              <w:right w:w="120" w:type="dxa"/>
            </w:tcMar>
          </w:tcPr>
          <w:p>
            <w:pPr>
              <w:spacing w:after="0"/>
            </w:pPr>
            <w:r>
              <w:rPr>
                <w:color w:val="334155"/>
                <w:sz w:val="17"/>
              </w:rPr>
              <w:t>Distillery Excise Inspector physical seal verification.</w:t>
            </w:r>
          </w:p>
        </w:tc>
      </w:tr>
      <w:tr>
        <w:tc>
          <w:tcPr>
            <w:tcW w:type="dxa" w:w="1728"/>
            <w:shd w:fill="F8FAFC"/>
            <w:tcMar>
              <w:top w:w="80" w:type="dxa"/>
              <w:bottom w:w="80" w:type="dxa"/>
              <w:left w:w="120" w:type="dxa"/>
              <w:right w:w="120" w:type="dxa"/>
            </w:tcMar>
          </w:tcPr>
          <w:p>
            <w:pPr>
              <w:spacing w:after="0"/>
            </w:pPr>
            <w:r>
              <w:rPr>
                <w:b/>
                <w:color w:val="0F172A"/>
                <w:sz w:val="17"/>
              </w:rPr>
              <w:t>2. Transit Pass (TP) Issuance</w:t>
            </w:r>
          </w:p>
        </w:tc>
        <w:tc>
          <w:tcPr>
            <w:tcW w:type="dxa" w:w="2880"/>
            <w:shd w:fill="F8FAFC"/>
            <w:tcMar>
              <w:top w:w="80" w:type="dxa"/>
              <w:bottom w:w="80" w:type="dxa"/>
              <w:left w:w="120" w:type="dxa"/>
              <w:right w:w="120" w:type="dxa"/>
            </w:tcMar>
          </w:tcPr>
          <w:p>
            <w:pPr>
              <w:spacing w:after="0"/>
            </w:pPr>
            <w:r>
              <w:rPr>
                <w:color w:val="334155"/>
                <w:sz w:val="17"/>
              </w:rPr>
              <w:t>Application for Inter-State Transport Pass (Pass-2). Route mapping, vehicle registration, driver details.</w:t>
            </w:r>
          </w:p>
        </w:tc>
        <w:tc>
          <w:tcPr>
            <w:tcW w:type="dxa" w:w="2592"/>
            <w:shd w:fill="F8FAFC"/>
            <w:tcMar>
              <w:top w:w="80" w:type="dxa"/>
              <w:bottom w:w="80" w:type="dxa"/>
              <w:left w:w="120" w:type="dxa"/>
              <w:right w:w="120" w:type="dxa"/>
            </w:tcMar>
          </w:tcPr>
          <w:p>
            <w:pPr>
              <w:spacing w:after="0"/>
            </w:pPr>
            <w:r>
              <w:rPr>
                <w:color w:val="334155"/>
                <w:sz w:val="17"/>
              </w:rPr>
              <w:t>Transit bond execution equal to 200% of Maharashtra excise duty value.</w:t>
            </w:r>
          </w:p>
        </w:tc>
        <w:tc>
          <w:tcPr>
            <w:tcW w:type="dxa" w:w="2160"/>
            <w:shd w:fill="F8FAFC"/>
            <w:tcMar>
              <w:top w:w="80" w:type="dxa"/>
              <w:bottom w:w="80" w:type="dxa"/>
              <w:left w:w="120" w:type="dxa"/>
              <w:right w:w="120" w:type="dxa"/>
            </w:tcMar>
          </w:tcPr>
          <w:p>
            <w:pPr>
              <w:spacing w:after="0"/>
            </w:pPr>
            <w:r>
              <w:rPr>
                <w:color w:val="334155"/>
                <w:sz w:val="17"/>
              </w:rPr>
              <w:t>GPS-tracked bonded cargo container lock.</w:t>
            </w:r>
          </w:p>
        </w:tc>
      </w:tr>
      <w:tr>
        <w:tc>
          <w:tcPr>
            <w:tcW w:type="dxa" w:w="1728"/>
            <w:shd w:fill="FFFFFF"/>
            <w:tcMar>
              <w:top w:w="80" w:type="dxa"/>
              <w:bottom w:w="80" w:type="dxa"/>
              <w:left w:w="120" w:type="dxa"/>
              <w:right w:w="120" w:type="dxa"/>
            </w:tcMar>
          </w:tcPr>
          <w:p>
            <w:pPr>
              <w:spacing w:after="0"/>
            </w:pPr>
            <w:r>
              <w:rPr>
                <w:b/>
                <w:color w:val="0F172A"/>
                <w:sz w:val="17"/>
              </w:rPr>
              <w:t>3. Border Checkpost Verification</w:t>
            </w:r>
          </w:p>
        </w:tc>
        <w:tc>
          <w:tcPr>
            <w:tcW w:type="dxa" w:w="2880"/>
            <w:shd w:fill="FFFFFF"/>
            <w:tcMar>
              <w:top w:w="80" w:type="dxa"/>
              <w:bottom w:w="80" w:type="dxa"/>
              <w:left w:w="120" w:type="dxa"/>
              <w:right w:w="120" w:type="dxa"/>
            </w:tcMar>
          </w:tcPr>
          <w:p>
            <w:pPr>
              <w:spacing w:after="0"/>
            </w:pPr>
            <w:r>
              <w:rPr>
                <w:color w:val="334155"/>
                <w:sz w:val="17"/>
              </w:rPr>
              <w:t>Physical inspection at Maharashtra Border Checkposts (Insuli / Banda / Kankavli checkposts).</w:t>
            </w:r>
          </w:p>
        </w:tc>
        <w:tc>
          <w:tcPr>
            <w:tcW w:type="dxa" w:w="2592"/>
            <w:shd w:fill="FFFFFF"/>
            <w:tcMar>
              <w:top w:w="80" w:type="dxa"/>
              <w:bottom w:w="80" w:type="dxa"/>
              <w:left w:w="120" w:type="dxa"/>
              <w:right w:w="120" w:type="dxa"/>
            </w:tcMar>
          </w:tcPr>
          <w:p>
            <w:pPr>
              <w:spacing w:after="0"/>
            </w:pPr>
            <w:r>
              <w:rPr>
                <w:color w:val="334155"/>
                <w:sz w:val="17"/>
              </w:rPr>
              <w:t>Verification of Maharashtra Import Pass, electronic payment of MH Special Excise Duty.</w:t>
            </w:r>
          </w:p>
        </w:tc>
        <w:tc>
          <w:tcPr>
            <w:tcW w:type="dxa" w:w="2160"/>
            <w:shd w:fill="FFFFFF"/>
            <w:tcMar>
              <w:top w:w="80" w:type="dxa"/>
              <w:bottom w:w="80" w:type="dxa"/>
              <w:left w:w="120" w:type="dxa"/>
              <w:right w:w="120" w:type="dxa"/>
            </w:tcMar>
          </w:tcPr>
          <w:p>
            <w:pPr>
              <w:spacing w:after="0"/>
            </w:pPr>
            <w:r>
              <w:rPr>
                <w:color w:val="334155"/>
                <w:sz w:val="17"/>
              </w:rPr>
              <w:t>Border excise stamp and electronic QR clearance in MH excise portal.</w:t>
            </w:r>
          </w:p>
        </w:tc>
      </w:tr>
      <w:tr>
        <w:tc>
          <w:tcPr>
            <w:tcW w:type="dxa" w:w="1728"/>
            <w:shd w:fill="F8FAFC"/>
            <w:tcMar>
              <w:top w:w="80" w:type="dxa"/>
              <w:bottom w:w="80" w:type="dxa"/>
              <w:left w:w="120" w:type="dxa"/>
              <w:right w:w="120" w:type="dxa"/>
            </w:tcMar>
          </w:tcPr>
          <w:p>
            <w:pPr>
              <w:spacing w:after="0"/>
            </w:pPr>
            <w:r>
              <w:rPr>
                <w:b/>
                <w:color w:val="0F172A"/>
                <w:sz w:val="17"/>
              </w:rPr>
              <w:t>4. FL-1 Bonded Storage</w:t>
            </w:r>
          </w:p>
        </w:tc>
        <w:tc>
          <w:tcPr>
            <w:tcW w:type="dxa" w:w="2880"/>
            <w:shd w:fill="F8FAFC"/>
            <w:tcMar>
              <w:top w:w="80" w:type="dxa"/>
              <w:bottom w:w="80" w:type="dxa"/>
              <w:left w:w="120" w:type="dxa"/>
              <w:right w:w="120" w:type="dxa"/>
            </w:tcMar>
          </w:tcPr>
          <w:p>
            <w:pPr>
              <w:spacing w:after="0"/>
            </w:pPr>
            <w:r>
              <w:rPr>
                <w:color w:val="334155"/>
                <w:sz w:val="17"/>
              </w:rPr>
              <w:t>Stock deposit in FeraBee's licensed FL-1 Bonded Wholesale Warehouse (Pune / Thane / Panvel).</w:t>
            </w:r>
          </w:p>
        </w:tc>
        <w:tc>
          <w:tcPr>
            <w:tcW w:type="dxa" w:w="2592"/>
            <w:shd w:fill="F8FAFC"/>
            <w:tcMar>
              <w:top w:w="80" w:type="dxa"/>
              <w:bottom w:w="80" w:type="dxa"/>
              <w:left w:w="120" w:type="dxa"/>
              <w:right w:w="120" w:type="dxa"/>
            </w:tcMar>
          </w:tcPr>
          <w:p>
            <w:pPr>
              <w:spacing w:after="0"/>
            </w:pPr>
            <w:r>
              <w:rPr>
                <w:color w:val="334155"/>
                <w:sz w:val="17"/>
              </w:rPr>
              <w:t>Pass fee reconciliation, warehouse ledger update, breakdown into district allocations.</w:t>
            </w:r>
          </w:p>
        </w:tc>
        <w:tc>
          <w:tcPr>
            <w:tcW w:type="dxa" w:w="2160"/>
            <w:shd w:fill="F8FAFC"/>
            <w:tcMar>
              <w:top w:w="80" w:type="dxa"/>
              <w:bottom w:w="80" w:type="dxa"/>
              <w:left w:w="120" w:type="dxa"/>
              <w:right w:w="120" w:type="dxa"/>
            </w:tcMar>
          </w:tcPr>
          <w:p>
            <w:pPr>
              <w:spacing w:after="0"/>
            </w:pPr>
            <w:r>
              <w:rPr>
                <w:color w:val="334155"/>
                <w:sz w:val="17"/>
              </w:rPr>
              <w:t>District Excise Officer verification before dispatch to Bee Lounges.</w:t>
            </w:r>
          </w:p>
        </w:tc>
      </w:tr>
    </w:tbl>
    <w:p>
      <w:pPr>
        <w:keepNext/>
        <w:spacing w:before="360" w:after="120"/>
        <w:pBdr>
          <w:bottom w:val="single" w:sz="12" w:space="4" w:color="D97706"/>
        </w:pBdr>
      </w:pPr>
      <w:r>
        <w:rPr>
          <w:rFonts w:ascii="Calibri" w:hAnsi="Calibri"/>
          <w:b/>
          <w:color w:val="0F172A"/>
          <w:sz w:val="29"/>
        </w:rPr>
        <w:t>5. Legal Defense Architecture for 'Unlimited Packages' (Maharashtra Prohibition Act)</w:t>
      </w:r>
    </w:p>
    <w:p>
      <w:r>
        <w:t>A central pillar of the FeraBee business model is the highly attractive 'Unlimited Tasting &amp; Dining Package' (Silver ₹999, Gold ₹1,499, Platinum ₹1,999). However, operating this format in Maharashtra requires careful legal structuring to prevent catastrophic license suspension under Section 142 of the Maharashtra Prohibition Act, 1949.</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top w:val="none"/>
              <w:left w:val="single" w:sz="24" w:color="EF4444"/>
              <w:bottom w:val="none"/>
              <w:right w:val="none"/>
            </w:tcBorders>
          </w:tcPr>
          <w:p>
            <w:pPr>
              <w:spacing w:after="40"/>
            </w:pPr>
            <w:r>
              <w:rPr>
                <w:b/>
                <w:color w:val="B91C1C"/>
                <w:sz w:val="19"/>
              </w:rPr>
              <w:t xml:space="preserve">✦ LEGAL DEFENSE WARNING: </w:t>
            </w:r>
            <w:r>
              <w:rPr>
                <w:color w:val="0F172A"/>
                <w:sz w:val="19"/>
              </w:rPr>
              <w:t>Statutory Risk: Promoting 'unlimited alcohol drinking competitions' or open-ended free pouring violates Maharashtra State Excise licensing conditions. A single public complaint or raid can lead to immediate FL-III license cancellation, promoter prosecution, and brand blacklisting. FeraBee solves this through the 'Prix-Fixe Culinary Experience with Tokenized Beverage Allocation' framework.</w:t>
            </w:r>
          </w:p>
        </w:tc>
      </w:tr>
    </w:tbl>
    <w:p>
      <w:pPr>
        <w:keepNext/>
        <w:spacing w:before="240" w:after="80"/>
      </w:pPr>
      <w:r>
        <w:rPr>
          <w:rFonts w:ascii="Calibri" w:hAnsi="Calibri"/>
          <w:b/>
          <w:color w:val="1E3A8A"/>
          <w:sz w:val="24"/>
        </w:rPr>
        <w:t>5.1 The Four-Pillar Legal Compliance Framework</w:t>
      </w:r>
    </w:p>
    <w:p>
      <w:r>
        <w:t>1. Contractual &amp; Menu Wording: Promotional materials, physical menu boards, and digital advertisements strictly display: 'Prix-Fixe Multi-Course Culinary Experience with Complimentary FeraBee Tasting Session'. No mention of 'all-you-can-drink' or 'free booze'.</w:t>
        <w:br/>
        <w:t>2. Smart Token Architecture (Hard Limits):</w:t>
        <w:br/>
        <w:t xml:space="preserve">   • Silver Hive (₹999): Unlimited Veg Dining + 4 Beverage Tokens (Max 240ml hard spirits or 2 craft beers).</w:t>
        <w:br/>
        <w:t xml:space="preserve">   • Gold Bee (₹1,499): Unlimited 7-Course Dining + 6 Beverage Tokens (Max 360ml hard spirits) + Unlimited Draft Beer (timed).</w:t>
        <w:br/>
        <w:t xml:space="preserve">   • Platinum Royal (₹1,999): Unlimited Seafood/BBQ + 8 Beverage Tokens including Sparkling Wine.</w:t>
        <w:br/>
        <w:t>3. Seating Window &amp; Time Enforcement: Strict 2.5-hour table turnaround managed electronically via RFID wristbands.</w:t>
        <w:br/>
        <w:t>4. IoT Optic Pourer Integration: Bluetooth/Wi-Fi connected 60ml optic pourers dispense exactly one measured peg per token transaction directly recorded in the POS system.</w:t>
      </w:r>
    </w:p>
    <w:p>
      <w:pPr>
        <w:keepNext/>
        <w:spacing w:before="360" w:after="120"/>
        <w:pBdr>
          <w:bottom w:val="single" w:sz="12" w:space="4" w:color="D97706"/>
        </w:pBdr>
      </w:pPr>
      <w:r>
        <w:rPr>
          <w:rFonts w:ascii="Calibri" w:hAnsi="Calibri"/>
          <w:b/>
          <w:color w:val="0F172A"/>
          <w:sz w:val="29"/>
        </w:rPr>
        <w:t>6. Government Inspection &amp; Daily Excise Audit SOP</w:t>
      </w:r>
    </w:p>
    <w:p>
      <w:r>
        <w:t>Each FeraBee Bee Lounge operates under a standardized daily audit protocol to guarantee 100% compliance during unannounced excise officer inspections:</w:t>
      </w:r>
    </w:p>
    <w:tbl>
      <w:tblPr>
        <w:tblW w:type="auto" w:w="0"/>
        <w:jc w:val="center"/>
        <w:tblLook w:firstColumn="1" w:firstRow="1" w:lastColumn="0" w:lastRow="0" w:noHBand="0" w:noVBand="1" w:val="04A0"/>
      </w:tblPr>
      <w:tblGrid>
        <w:gridCol w:w="2340"/>
        <w:gridCol w:w="2340"/>
        <w:gridCol w:w="2340"/>
        <w:gridCol w:w="2340"/>
      </w:tblGrid>
      <w:tr>
        <w:tc>
          <w:tcPr>
            <w:tcW w:type="dxa" w:w="2016"/>
            <w:shd w:fill="1E293B"/>
            <w:tcMar>
              <w:top w:w="100" w:type="dxa"/>
              <w:bottom w:w="100" w:type="dxa"/>
              <w:left w:w="120" w:type="dxa"/>
              <w:right w:w="120" w:type="dxa"/>
            </w:tcMar>
          </w:tcPr>
          <w:p>
            <w:pPr>
              <w:jc w:val="left"/>
            </w:pPr>
            <w:r>
              <w:rPr>
                <w:b/>
                <w:color w:val="FFFFFF"/>
                <w:sz w:val="18"/>
              </w:rPr>
              <w:t>Audit Area</w:t>
            </w:r>
          </w:p>
        </w:tc>
        <w:tc>
          <w:tcPr>
            <w:tcW w:type="dxa" w:w="2016"/>
            <w:shd w:fill="1E293B"/>
            <w:tcMar>
              <w:top w:w="100" w:type="dxa"/>
              <w:bottom w:w="100" w:type="dxa"/>
              <w:left w:w="120" w:type="dxa"/>
              <w:right w:w="120" w:type="dxa"/>
            </w:tcMar>
          </w:tcPr>
          <w:p>
            <w:pPr>
              <w:jc w:val="left"/>
            </w:pPr>
            <w:r>
              <w:rPr>
                <w:b/>
                <w:color w:val="FFFFFF"/>
                <w:sz w:val="18"/>
              </w:rPr>
              <w:t>Statutory Register / System</w:t>
            </w:r>
          </w:p>
        </w:tc>
        <w:tc>
          <w:tcPr>
            <w:tcW w:type="dxa" w:w="1728"/>
            <w:shd w:fill="1E293B"/>
            <w:tcMar>
              <w:top w:w="100" w:type="dxa"/>
              <w:bottom w:w="100" w:type="dxa"/>
              <w:left w:w="120" w:type="dxa"/>
              <w:right w:w="120" w:type="dxa"/>
            </w:tcMar>
          </w:tcPr>
          <w:p>
            <w:pPr>
              <w:jc w:val="left"/>
            </w:pPr>
            <w:r>
              <w:rPr>
                <w:b/>
                <w:color w:val="FFFFFF"/>
                <w:sz w:val="18"/>
              </w:rPr>
              <w:t>Verification Frequency</w:t>
            </w:r>
          </w:p>
        </w:tc>
        <w:tc>
          <w:tcPr>
            <w:tcW w:type="dxa" w:w="3600"/>
            <w:shd w:fill="1E293B"/>
            <w:tcMar>
              <w:top w:w="100" w:type="dxa"/>
              <w:bottom w:w="100" w:type="dxa"/>
              <w:left w:w="120" w:type="dxa"/>
              <w:right w:w="120" w:type="dxa"/>
            </w:tcMar>
          </w:tcPr>
          <w:p>
            <w:pPr>
              <w:jc w:val="left"/>
            </w:pPr>
            <w:r>
              <w:rPr>
                <w:b/>
                <w:color w:val="FFFFFF"/>
                <w:sz w:val="18"/>
              </w:rPr>
              <w:t>Standard Operating Procedure (SOP)</w:t>
            </w:r>
          </w:p>
        </w:tc>
      </w:tr>
      <w:tr>
        <w:tc>
          <w:tcPr>
            <w:tcW w:type="dxa" w:w="2016"/>
            <w:shd w:fill="FFFFFF"/>
            <w:tcMar>
              <w:top w:w="80" w:type="dxa"/>
              <w:bottom w:w="80" w:type="dxa"/>
              <w:left w:w="120" w:type="dxa"/>
              <w:right w:w="120" w:type="dxa"/>
            </w:tcMar>
          </w:tcPr>
          <w:p>
            <w:pPr>
              <w:spacing w:after="0"/>
            </w:pPr>
            <w:r>
              <w:rPr>
                <w:b/>
                <w:color w:val="0F172A"/>
                <w:sz w:val="17"/>
              </w:rPr>
              <w:t>Daily Opening &amp; Closing Stock</w:t>
            </w:r>
          </w:p>
        </w:tc>
        <w:tc>
          <w:tcPr>
            <w:tcW w:type="dxa" w:w="2016"/>
            <w:shd w:fill="FFFFFF"/>
            <w:tcMar>
              <w:top w:w="80" w:type="dxa"/>
              <w:bottom w:w="80" w:type="dxa"/>
              <w:left w:w="120" w:type="dxa"/>
              <w:right w:w="120" w:type="dxa"/>
            </w:tcMar>
          </w:tcPr>
          <w:p>
            <w:pPr>
              <w:spacing w:after="0"/>
            </w:pPr>
            <w:r>
              <w:rPr>
                <w:color w:val="334155"/>
                <w:sz w:val="17"/>
              </w:rPr>
              <w:t>Form FLR-3 / FLR-4 Register</w:t>
            </w:r>
          </w:p>
        </w:tc>
        <w:tc>
          <w:tcPr>
            <w:tcW w:type="dxa" w:w="1728"/>
            <w:shd w:fill="FFFFFF"/>
            <w:tcMar>
              <w:top w:w="80" w:type="dxa"/>
              <w:bottom w:w="80" w:type="dxa"/>
              <w:left w:w="120" w:type="dxa"/>
              <w:right w:w="120" w:type="dxa"/>
            </w:tcMar>
          </w:tcPr>
          <w:p>
            <w:pPr>
              <w:spacing w:after="0"/>
            </w:pPr>
            <w:r>
              <w:rPr>
                <w:color w:val="334155"/>
                <w:sz w:val="17"/>
              </w:rPr>
              <w:t>Daily (End of Shift)</w:t>
            </w:r>
          </w:p>
        </w:tc>
        <w:tc>
          <w:tcPr>
            <w:tcW w:type="dxa" w:w="3600"/>
            <w:shd w:fill="FFFFFF"/>
            <w:tcMar>
              <w:top w:w="80" w:type="dxa"/>
              <w:bottom w:w="80" w:type="dxa"/>
              <w:left w:w="120" w:type="dxa"/>
              <w:right w:w="120" w:type="dxa"/>
            </w:tcMar>
          </w:tcPr>
          <w:p>
            <w:pPr>
              <w:spacing w:after="0"/>
            </w:pPr>
            <w:r>
              <w:rPr>
                <w:color w:val="334155"/>
                <w:sz w:val="17"/>
              </w:rPr>
              <w:t>Physical bottle and peg count matched with POS digital dispensing log. Zero discrepancy tolerance.</w:t>
            </w:r>
          </w:p>
        </w:tc>
      </w:tr>
      <w:tr>
        <w:tc>
          <w:tcPr>
            <w:tcW w:type="dxa" w:w="2016"/>
            <w:shd w:fill="F8FAFC"/>
            <w:tcMar>
              <w:top w:w="80" w:type="dxa"/>
              <w:bottom w:w="80" w:type="dxa"/>
              <w:left w:w="120" w:type="dxa"/>
              <w:right w:w="120" w:type="dxa"/>
            </w:tcMar>
          </w:tcPr>
          <w:p>
            <w:pPr>
              <w:spacing w:after="0"/>
            </w:pPr>
            <w:r>
              <w:rPr>
                <w:b/>
                <w:color w:val="0F172A"/>
                <w:sz w:val="17"/>
              </w:rPr>
              <w:t>Age-Gating Verification</w:t>
            </w:r>
          </w:p>
        </w:tc>
        <w:tc>
          <w:tcPr>
            <w:tcW w:type="dxa" w:w="2016"/>
            <w:shd w:fill="F8FAFC"/>
            <w:tcMar>
              <w:top w:w="80" w:type="dxa"/>
              <w:bottom w:w="80" w:type="dxa"/>
              <w:left w:w="120" w:type="dxa"/>
              <w:right w:w="120" w:type="dxa"/>
            </w:tcMar>
          </w:tcPr>
          <w:p>
            <w:pPr>
              <w:spacing w:after="0"/>
            </w:pPr>
            <w:r>
              <w:rPr>
                <w:color w:val="334155"/>
                <w:sz w:val="17"/>
              </w:rPr>
              <w:t>NFC Wristband / ID Scanner</w:t>
            </w:r>
          </w:p>
        </w:tc>
        <w:tc>
          <w:tcPr>
            <w:tcW w:type="dxa" w:w="1728"/>
            <w:shd w:fill="F8FAFC"/>
            <w:tcMar>
              <w:top w:w="80" w:type="dxa"/>
              <w:bottom w:w="80" w:type="dxa"/>
              <w:left w:w="120" w:type="dxa"/>
              <w:right w:w="120" w:type="dxa"/>
            </w:tcMar>
          </w:tcPr>
          <w:p>
            <w:pPr>
              <w:spacing w:after="0"/>
            </w:pPr>
            <w:r>
              <w:rPr>
                <w:color w:val="334155"/>
                <w:sz w:val="17"/>
              </w:rPr>
              <w:t>Continuous (At Reception)</w:t>
            </w:r>
          </w:p>
        </w:tc>
        <w:tc>
          <w:tcPr>
            <w:tcW w:type="dxa" w:w="3600"/>
            <w:shd w:fill="F8FAFC"/>
            <w:tcMar>
              <w:top w:w="80" w:type="dxa"/>
              <w:bottom w:w="80" w:type="dxa"/>
              <w:left w:w="120" w:type="dxa"/>
              <w:right w:w="120" w:type="dxa"/>
            </w:tcMar>
          </w:tcPr>
          <w:p>
            <w:pPr>
              <w:spacing w:after="0"/>
            </w:pPr>
            <w:r>
              <w:rPr>
                <w:color w:val="334155"/>
                <w:sz w:val="17"/>
              </w:rPr>
              <w:t>Government photo ID verification (Aadhaar / Driving License). Under-21 strictly prohibited; 21-25 beer only; 25+ spirits.</w:t>
            </w:r>
          </w:p>
        </w:tc>
      </w:tr>
      <w:tr>
        <w:tc>
          <w:tcPr>
            <w:tcW w:type="dxa" w:w="2016"/>
            <w:shd w:fill="FFFFFF"/>
            <w:tcMar>
              <w:top w:w="80" w:type="dxa"/>
              <w:bottom w:w="80" w:type="dxa"/>
              <w:left w:w="120" w:type="dxa"/>
              <w:right w:w="120" w:type="dxa"/>
            </w:tcMar>
          </w:tcPr>
          <w:p>
            <w:pPr>
              <w:spacing w:after="0"/>
            </w:pPr>
            <w:r>
              <w:rPr>
                <w:b/>
                <w:color w:val="0F172A"/>
                <w:sz w:val="17"/>
              </w:rPr>
              <w:t>Hologram &amp; Barcode Integrity</w:t>
            </w:r>
          </w:p>
        </w:tc>
        <w:tc>
          <w:tcPr>
            <w:tcW w:type="dxa" w:w="2016"/>
            <w:shd w:fill="FFFFFF"/>
            <w:tcMar>
              <w:top w:w="80" w:type="dxa"/>
              <w:bottom w:w="80" w:type="dxa"/>
              <w:left w:w="120" w:type="dxa"/>
              <w:right w:w="120" w:type="dxa"/>
            </w:tcMar>
          </w:tcPr>
          <w:p>
            <w:pPr>
              <w:spacing w:after="0"/>
            </w:pPr>
            <w:r>
              <w:rPr>
                <w:color w:val="334155"/>
                <w:sz w:val="17"/>
              </w:rPr>
              <w:t>Handheld Excise Barcode Scanner</w:t>
            </w:r>
          </w:p>
        </w:tc>
        <w:tc>
          <w:tcPr>
            <w:tcW w:type="dxa" w:w="1728"/>
            <w:shd w:fill="FFFFFF"/>
            <w:tcMar>
              <w:top w:w="80" w:type="dxa"/>
              <w:bottom w:w="80" w:type="dxa"/>
              <w:left w:w="120" w:type="dxa"/>
              <w:right w:w="120" w:type="dxa"/>
            </w:tcMar>
          </w:tcPr>
          <w:p>
            <w:pPr>
              <w:spacing w:after="0"/>
            </w:pPr>
            <w:r>
              <w:rPr>
                <w:color w:val="334155"/>
                <w:sz w:val="17"/>
              </w:rPr>
              <w:t>Upon Consignment Delivery</w:t>
            </w:r>
          </w:p>
        </w:tc>
        <w:tc>
          <w:tcPr>
            <w:tcW w:type="dxa" w:w="3600"/>
            <w:shd w:fill="FFFFFF"/>
            <w:tcMar>
              <w:top w:w="80" w:type="dxa"/>
              <w:bottom w:w="80" w:type="dxa"/>
              <w:left w:w="120" w:type="dxa"/>
              <w:right w:w="120" w:type="dxa"/>
            </w:tcMar>
          </w:tcPr>
          <w:p>
            <w:pPr>
              <w:spacing w:after="0"/>
            </w:pPr>
            <w:r>
              <w:rPr>
                <w:color w:val="334155"/>
                <w:sz w:val="17"/>
              </w:rPr>
              <w:t>Every master carton scanned to verify state excise hologram and authenticity against state database.</w:t>
            </w:r>
          </w:p>
        </w:tc>
      </w:tr>
      <w:tr>
        <w:tc>
          <w:tcPr>
            <w:tcW w:type="dxa" w:w="2016"/>
            <w:shd w:fill="F8FAFC"/>
            <w:tcMar>
              <w:top w:w="80" w:type="dxa"/>
              <w:bottom w:w="80" w:type="dxa"/>
              <w:left w:w="120" w:type="dxa"/>
              <w:right w:w="120" w:type="dxa"/>
            </w:tcMar>
          </w:tcPr>
          <w:p>
            <w:pPr>
              <w:spacing w:after="0"/>
            </w:pPr>
            <w:r>
              <w:rPr>
                <w:b/>
                <w:color w:val="0F172A"/>
                <w:sz w:val="17"/>
              </w:rPr>
              <w:t>Optic Dispenser Calibration</w:t>
            </w:r>
          </w:p>
        </w:tc>
        <w:tc>
          <w:tcPr>
            <w:tcW w:type="dxa" w:w="2016"/>
            <w:shd w:fill="F8FAFC"/>
            <w:tcMar>
              <w:top w:w="80" w:type="dxa"/>
              <w:bottom w:w="80" w:type="dxa"/>
              <w:left w:w="120" w:type="dxa"/>
              <w:right w:w="120" w:type="dxa"/>
            </w:tcMar>
          </w:tcPr>
          <w:p>
            <w:pPr>
              <w:spacing w:after="0"/>
            </w:pPr>
            <w:r>
              <w:rPr>
                <w:color w:val="334155"/>
                <w:sz w:val="17"/>
              </w:rPr>
              <w:t>Weights &amp; Measures Certificate</w:t>
            </w:r>
          </w:p>
        </w:tc>
        <w:tc>
          <w:tcPr>
            <w:tcW w:type="dxa" w:w="1728"/>
            <w:shd w:fill="F8FAFC"/>
            <w:tcMar>
              <w:top w:w="80" w:type="dxa"/>
              <w:bottom w:w="80" w:type="dxa"/>
              <w:left w:w="120" w:type="dxa"/>
              <w:right w:w="120" w:type="dxa"/>
            </w:tcMar>
          </w:tcPr>
          <w:p>
            <w:pPr>
              <w:spacing w:after="0"/>
            </w:pPr>
            <w:r>
              <w:rPr>
                <w:color w:val="334155"/>
                <w:sz w:val="17"/>
              </w:rPr>
              <w:t>Monthly</w:t>
            </w:r>
          </w:p>
        </w:tc>
        <w:tc>
          <w:tcPr>
            <w:tcW w:type="dxa" w:w="3600"/>
            <w:shd w:fill="F8FAFC"/>
            <w:tcMar>
              <w:top w:w="80" w:type="dxa"/>
              <w:bottom w:w="80" w:type="dxa"/>
              <w:left w:w="120" w:type="dxa"/>
              <w:right w:w="120" w:type="dxa"/>
            </w:tcMar>
          </w:tcPr>
          <w:p>
            <w:pPr>
              <w:spacing w:after="0"/>
            </w:pPr>
            <w:r>
              <w:rPr>
                <w:color w:val="334155"/>
                <w:sz w:val="17"/>
              </w:rPr>
              <w:t>Legal metrology stamping on all 60ml optic pourers and peg measures to prevent over/under-pouring fines.</w:t>
            </w:r>
          </w:p>
        </w:tc>
      </w:tr>
      <w:tr>
        <w:tc>
          <w:tcPr>
            <w:tcW w:type="dxa" w:w="2016"/>
            <w:shd w:fill="FFFFFF"/>
            <w:tcMar>
              <w:top w:w="80" w:type="dxa"/>
              <w:bottom w:w="80" w:type="dxa"/>
              <w:left w:w="120" w:type="dxa"/>
              <w:right w:w="120" w:type="dxa"/>
            </w:tcMar>
          </w:tcPr>
          <w:p>
            <w:pPr>
              <w:spacing w:after="0"/>
            </w:pPr>
            <w:r>
              <w:rPr>
                <w:b/>
                <w:color w:val="0F172A"/>
                <w:sz w:val="17"/>
              </w:rPr>
              <w:t>Emergency Medical &amp; Safe Transit</w:t>
            </w:r>
          </w:p>
        </w:tc>
        <w:tc>
          <w:tcPr>
            <w:tcW w:type="dxa" w:w="2016"/>
            <w:shd w:fill="FFFFFF"/>
            <w:tcMar>
              <w:top w:w="80" w:type="dxa"/>
              <w:bottom w:w="80" w:type="dxa"/>
              <w:left w:w="120" w:type="dxa"/>
              <w:right w:w="120" w:type="dxa"/>
            </w:tcMar>
          </w:tcPr>
          <w:p>
            <w:pPr>
              <w:spacing w:after="0"/>
            </w:pPr>
            <w:r>
              <w:rPr>
                <w:color w:val="334155"/>
                <w:sz w:val="17"/>
              </w:rPr>
              <w:t>Uber / Local Taxi Tie-Up Protocol</w:t>
            </w:r>
          </w:p>
        </w:tc>
        <w:tc>
          <w:tcPr>
            <w:tcW w:type="dxa" w:w="1728"/>
            <w:shd w:fill="FFFFFF"/>
            <w:tcMar>
              <w:top w:w="80" w:type="dxa"/>
              <w:bottom w:w="80" w:type="dxa"/>
              <w:left w:w="120" w:type="dxa"/>
              <w:right w:w="120" w:type="dxa"/>
            </w:tcMar>
          </w:tcPr>
          <w:p>
            <w:pPr>
              <w:spacing w:after="0"/>
            </w:pPr>
            <w:r>
              <w:rPr>
                <w:color w:val="334155"/>
                <w:sz w:val="17"/>
              </w:rPr>
              <w:t>Continuous</w:t>
            </w:r>
          </w:p>
        </w:tc>
        <w:tc>
          <w:tcPr>
            <w:tcW w:type="dxa" w:w="3600"/>
            <w:shd w:fill="FFFFFF"/>
            <w:tcMar>
              <w:top w:w="80" w:type="dxa"/>
              <w:bottom w:w="80" w:type="dxa"/>
              <w:left w:w="120" w:type="dxa"/>
              <w:right w:w="120" w:type="dxa"/>
            </w:tcMar>
          </w:tcPr>
          <w:p>
            <w:pPr>
              <w:spacing w:after="0"/>
            </w:pPr>
            <w:r>
              <w:rPr>
                <w:color w:val="334155"/>
                <w:sz w:val="17"/>
              </w:rPr>
              <w:t>Trained security personnel; designated driver identification; complimentary breathalyzer check before departure.</w:t>
            </w:r>
          </w:p>
        </w:tc>
      </w:tr>
    </w:tbl>
    <w:p>
      <w:pPr>
        <w:keepNext/>
        <w:spacing w:before="360" w:after="120"/>
        <w:pBdr>
          <w:bottom w:val="single" w:sz="12" w:space="4" w:color="D97706"/>
        </w:pBdr>
      </w:pPr>
      <w:r>
        <w:rPr>
          <w:rFonts w:ascii="Calibri" w:hAnsi="Calibri"/>
          <w:b/>
          <w:color w:val="0F172A"/>
          <w:sz w:val="29"/>
        </w:rPr>
        <w:t>7. Regulatory Timeline &amp; Government Liaison Capital Budget</w:t>
      </w:r>
    </w:p>
    <w:p>
      <w:r>
        <w:t>Out of the total ₹18.0 Crore Series-A Capital Raise, exactly ₹2.00 Crore (11.1%) is dedicated specifically to Statutory Licensing, Brand Approvals, and Legal Defense Infrastructures:</w:t>
      </w:r>
    </w:p>
    <w:tbl>
      <w:tblPr>
        <w:tblW w:type="auto" w:w="0"/>
        <w:jc w:val="center"/>
        <w:tblLook w:firstColumn="1" w:firstRow="1" w:lastColumn="0" w:lastRow="0" w:noHBand="0" w:noVBand="1" w:val="04A0"/>
      </w:tblPr>
      <w:tblGrid>
        <w:gridCol w:w="2340"/>
        <w:gridCol w:w="2340"/>
        <w:gridCol w:w="2340"/>
        <w:gridCol w:w="2340"/>
      </w:tblGrid>
      <w:tr>
        <w:tc>
          <w:tcPr>
            <w:tcW w:type="dxa" w:w="2880"/>
            <w:shd w:fill="1E293B"/>
            <w:tcMar>
              <w:top w:w="100" w:type="dxa"/>
              <w:bottom w:w="100" w:type="dxa"/>
              <w:left w:w="120" w:type="dxa"/>
              <w:right w:w="120" w:type="dxa"/>
            </w:tcMar>
          </w:tcPr>
          <w:p>
            <w:pPr>
              <w:jc w:val="left"/>
            </w:pPr>
            <w:r>
              <w:rPr>
                <w:b/>
                <w:color w:val="FFFFFF"/>
                <w:sz w:val="18"/>
              </w:rPr>
              <w:t>Regulatory Allocation Head</w:t>
            </w:r>
          </w:p>
        </w:tc>
        <w:tc>
          <w:tcPr>
            <w:tcW w:type="dxa" w:w="1872"/>
            <w:shd w:fill="1E293B"/>
            <w:tcMar>
              <w:top w:w="100" w:type="dxa"/>
              <w:bottom w:w="100" w:type="dxa"/>
              <w:left w:w="120" w:type="dxa"/>
              <w:right w:w="120" w:type="dxa"/>
            </w:tcMar>
          </w:tcPr>
          <w:p>
            <w:pPr>
              <w:jc w:val="left"/>
            </w:pPr>
            <w:r>
              <w:rPr>
                <w:b/>
                <w:color w:val="FFFFFF"/>
                <w:sz w:val="18"/>
              </w:rPr>
              <w:t>Allocated Budget (₹)</w:t>
            </w:r>
          </w:p>
        </w:tc>
        <w:tc>
          <w:tcPr>
            <w:tcW w:type="dxa" w:w="1152"/>
            <w:shd w:fill="1E293B"/>
            <w:tcMar>
              <w:top w:w="100" w:type="dxa"/>
              <w:bottom w:w="100" w:type="dxa"/>
              <w:left w:w="120" w:type="dxa"/>
              <w:right w:w="120" w:type="dxa"/>
            </w:tcMar>
          </w:tcPr>
          <w:p>
            <w:pPr>
              <w:jc w:val="left"/>
            </w:pPr>
            <w:r>
              <w:rPr>
                <w:b/>
                <w:color w:val="FFFFFF"/>
                <w:sz w:val="18"/>
              </w:rPr>
              <w:t>Share (%)</w:t>
            </w:r>
          </w:p>
        </w:tc>
        <w:tc>
          <w:tcPr>
            <w:tcW w:type="dxa" w:w="3456"/>
            <w:shd w:fill="1E293B"/>
            <w:tcMar>
              <w:top w:w="100" w:type="dxa"/>
              <w:bottom w:w="100" w:type="dxa"/>
              <w:left w:w="120" w:type="dxa"/>
              <w:right w:w="120" w:type="dxa"/>
            </w:tcMar>
          </w:tcPr>
          <w:p>
            <w:pPr>
              <w:jc w:val="left"/>
            </w:pPr>
            <w:r>
              <w:rPr>
                <w:b/>
                <w:color w:val="FFFFFF"/>
                <w:sz w:val="18"/>
              </w:rPr>
              <w:t>Deployment Milestone &amp; Deliverables</w:t>
            </w:r>
          </w:p>
        </w:tc>
      </w:tr>
      <w:tr>
        <w:tc>
          <w:tcPr>
            <w:tcW w:type="dxa" w:w="2880"/>
            <w:shd w:fill="FFFFFF"/>
            <w:tcMar>
              <w:top w:w="80" w:type="dxa"/>
              <w:bottom w:w="80" w:type="dxa"/>
              <w:left w:w="120" w:type="dxa"/>
              <w:right w:w="120" w:type="dxa"/>
            </w:tcMar>
          </w:tcPr>
          <w:p>
            <w:pPr>
              <w:spacing w:after="0"/>
            </w:pPr>
            <w:r>
              <w:rPr>
                <w:b/>
                <w:color w:val="0F172A"/>
                <w:sz w:val="17"/>
              </w:rPr>
              <w:t>Distillery Bottling Lease &amp; Advance</w:t>
            </w:r>
          </w:p>
        </w:tc>
        <w:tc>
          <w:tcPr>
            <w:tcW w:type="dxa" w:w="1872"/>
            <w:shd w:fill="FFFFFF"/>
            <w:tcMar>
              <w:top w:w="80" w:type="dxa"/>
              <w:bottom w:w="80" w:type="dxa"/>
              <w:left w:w="120" w:type="dxa"/>
              <w:right w:w="120" w:type="dxa"/>
            </w:tcMar>
          </w:tcPr>
          <w:p>
            <w:pPr>
              <w:spacing w:after="0"/>
            </w:pPr>
            <w:r>
              <w:rPr>
                <w:color w:val="334155"/>
                <w:sz w:val="17"/>
              </w:rPr>
              <w:t>₹40,00,000</w:t>
            </w:r>
          </w:p>
        </w:tc>
        <w:tc>
          <w:tcPr>
            <w:tcW w:type="dxa" w:w="1152"/>
            <w:shd w:fill="FFFFFF"/>
            <w:tcMar>
              <w:top w:w="80" w:type="dxa"/>
              <w:bottom w:w="80" w:type="dxa"/>
              <w:left w:w="120" w:type="dxa"/>
              <w:right w:w="120" w:type="dxa"/>
            </w:tcMar>
          </w:tcPr>
          <w:p>
            <w:pPr>
              <w:spacing w:after="0"/>
            </w:pPr>
            <w:r>
              <w:rPr>
                <w:color w:val="334155"/>
                <w:sz w:val="17"/>
              </w:rPr>
              <w:t>20.0%</w:t>
            </w:r>
          </w:p>
        </w:tc>
        <w:tc>
          <w:tcPr>
            <w:tcW w:type="dxa" w:w="3456"/>
            <w:shd w:fill="FFFFFF"/>
            <w:tcMar>
              <w:top w:w="80" w:type="dxa"/>
              <w:bottom w:w="80" w:type="dxa"/>
              <w:left w:w="120" w:type="dxa"/>
              <w:right w:w="120" w:type="dxa"/>
            </w:tcMar>
          </w:tcPr>
          <w:p>
            <w:pPr>
              <w:spacing w:after="0"/>
            </w:pPr>
            <w:r>
              <w:rPr>
                <w:color w:val="334155"/>
                <w:sz w:val="17"/>
              </w:rPr>
              <w:t>Secure 25,000 cases/month contracted bottling line in Goa Industrial Estate</w:t>
            </w:r>
          </w:p>
        </w:tc>
      </w:tr>
      <w:tr>
        <w:tc>
          <w:tcPr>
            <w:tcW w:type="dxa" w:w="2880"/>
            <w:shd w:fill="F8FAFC"/>
            <w:tcMar>
              <w:top w:w="80" w:type="dxa"/>
              <w:bottom w:w="80" w:type="dxa"/>
              <w:left w:w="120" w:type="dxa"/>
              <w:right w:w="120" w:type="dxa"/>
            </w:tcMar>
          </w:tcPr>
          <w:p>
            <w:pPr>
              <w:spacing w:after="0"/>
            </w:pPr>
            <w:r>
              <w:rPr>
                <w:b/>
                <w:color w:val="0F172A"/>
                <w:sz w:val="17"/>
              </w:rPr>
              <w:t>Multi-State Label Registrations (24 Labels)</w:t>
            </w:r>
          </w:p>
        </w:tc>
        <w:tc>
          <w:tcPr>
            <w:tcW w:type="dxa" w:w="1872"/>
            <w:shd w:fill="F8FAFC"/>
            <w:tcMar>
              <w:top w:w="80" w:type="dxa"/>
              <w:bottom w:w="80" w:type="dxa"/>
              <w:left w:w="120" w:type="dxa"/>
              <w:right w:w="120" w:type="dxa"/>
            </w:tcMar>
          </w:tcPr>
          <w:p>
            <w:pPr>
              <w:spacing w:after="0"/>
            </w:pPr>
            <w:r>
              <w:rPr>
                <w:color w:val="334155"/>
                <w:sz w:val="17"/>
              </w:rPr>
              <w:t>₹18,88,000</w:t>
            </w:r>
          </w:p>
        </w:tc>
        <w:tc>
          <w:tcPr>
            <w:tcW w:type="dxa" w:w="1152"/>
            <w:shd w:fill="F8FAFC"/>
            <w:tcMar>
              <w:top w:w="80" w:type="dxa"/>
              <w:bottom w:w="80" w:type="dxa"/>
              <w:left w:w="120" w:type="dxa"/>
              <w:right w:w="120" w:type="dxa"/>
            </w:tcMar>
          </w:tcPr>
          <w:p>
            <w:pPr>
              <w:spacing w:after="0"/>
            </w:pPr>
            <w:r>
              <w:rPr>
                <w:color w:val="334155"/>
                <w:sz w:val="17"/>
              </w:rPr>
              <w:t>9.4%</w:t>
            </w:r>
          </w:p>
        </w:tc>
        <w:tc>
          <w:tcPr>
            <w:tcW w:type="dxa" w:w="3456"/>
            <w:shd w:fill="F8FAFC"/>
            <w:tcMar>
              <w:top w:w="80" w:type="dxa"/>
              <w:bottom w:w="80" w:type="dxa"/>
              <w:left w:w="120" w:type="dxa"/>
              <w:right w:w="120" w:type="dxa"/>
            </w:tcMar>
          </w:tcPr>
          <w:p>
            <w:pPr>
              <w:spacing w:after="0"/>
            </w:pPr>
            <w:r>
              <w:rPr>
                <w:color w:val="334155"/>
                <w:sz w:val="17"/>
              </w:rPr>
              <w:t>Goa, Maharashtra, Karnataka, and Delhi label approvals and fee deposits</w:t>
            </w:r>
          </w:p>
        </w:tc>
      </w:tr>
      <w:tr>
        <w:tc>
          <w:tcPr>
            <w:tcW w:type="dxa" w:w="2880"/>
            <w:shd w:fill="FFFFFF"/>
            <w:tcMar>
              <w:top w:w="80" w:type="dxa"/>
              <w:bottom w:w="80" w:type="dxa"/>
              <w:left w:w="120" w:type="dxa"/>
              <w:right w:w="120" w:type="dxa"/>
            </w:tcMar>
          </w:tcPr>
          <w:p>
            <w:pPr>
              <w:spacing w:after="0"/>
            </w:pPr>
            <w:r>
              <w:rPr>
                <w:b/>
                <w:color w:val="0F172A"/>
                <w:sz w:val="17"/>
              </w:rPr>
              <w:t>FL-1 Maharashtra Wholesale Bonded Hub</w:t>
            </w:r>
          </w:p>
        </w:tc>
        <w:tc>
          <w:tcPr>
            <w:tcW w:type="dxa" w:w="1872"/>
            <w:shd w:fill="FFFFFF"/>
            <w:tcMar>
              <w:top w:w="80" w:type="dxa"/>
              <w:bottom w:w="80" w:type="dxa"/>
              <w:left w:w="120" w:type="dxa"/>
              <w:right w:w="120" w:type="dxa"/>
            </w:tcMar>
          </w:tcPr>
          <w:p>
            <w:pPr>
              <w:spacing w:after="0"/>
            </w:pPr>
            <w:r>
              <w:rPr>
                <w:color w:val="334155"/>
                <w:sz w:val="17"/>
              </w:rPr>
              <w:t>₹35,00,000</w:t>
            </w:r>
          </w:p>
        </w:tc>
        <w:tc>
          <w:tcPr>
            <w:tcW w:type="dxa" w:w="1152"/>
            <w:shd w:fill="FFFFFF"/>
            <w:tcMar>
              <w:top w:w="80" w:type="dxa"/>
              <w:bottom w:w="80" w:type="dxa"/>
              <w:left w:w="120" w:type="dxa"/>
              <w:right w:w="120" w:type="dxa"/>
            </w:tcMar>
          </w:tcPr>
          <w:p>
            <w:pPr>
              <w:spacing w:after="0"/>
            </w:pPr>
            <w:r>
              <w:rPr>
                <w:color w:val="334155"/>
                <w:sz w:val="17"/>
              </w:rPr>
              <w:t>17.5%</w:t>
            </w:r>
          </w:p>
        </w:tc>
        <w:tc>
          <w:tcPr>
            <w:tcW w:type="dxa" w:w="3456"/>
            <w:shd w:fill="FFFFFF"/>
            <w:tcMar>
              <w:top w:w="80" w:type="dxa"/>
              <w:bottom w:w="80" w:type="dxa"/>
              <w:left w:w="120" w:type="dxa"/>
              <w:right w:w="120" w:type="dxa"/>
            </w:tcMar>
          </w:tcPr>
          <w:p>
            <w:pPr>
              <w:spacing w:after="0"/>
            </w:pPr>
            <w:r>
              <w:rPr>
                <w:color w:val="334155"/>
                <w:sz w:val="17"/>
              </w:rPr>
              <w:t>Wholesale license fees, bonded warehouse lease security deposit (Pune)</w:t>
            </w:r>
          </w:p>
        </w:tc>
      </w:tr>
      <w:tr>
        <w:tc>
          <w:tcPr>
            <w:tcW w:type="dxa" w:w="2880"/>
            <w:shd w:fill="F8FAFC"/>
            <w:tcMar>
              <w:top w:w="80" w:type="dxa"/>
              <w:bottom w:w="80" w:type="dxa"/>
              <w:left w:w="120" w:type="dxa"/>
              <w:right w:w="120" w:type="dxa"/>
            </w:tcMar>
          </w:tcPr>
          <w:p>
            <w:pPr>
              <w:spacing w:after="0"/>
            </w:pPr>
            <w:r>
              <w:rPr>
                <w:b/>
                <w:color w:val="0F172A"/>
                <w:sz w:val="17"/>
              </w:rPr>
              <w:t>Legal Counsel, Excise Advocates &amp; Retainers</w:t>
            </w:r>
          </w:p>
        </w:tc>
        <w:tc>
          <w:tcPr>
            <w:tcW w:type="dxa" w:w="1872"/>
            <w:shd w:fill="F8FAFC"/>
            <w:tcMar>
              <w:top w:w="80" w:type="dxa"/>
              <w:bottom w:w="80" w:type="dxa"/>
              <w:left w:w="120" w:type="dxa"/>
              <w:right w:w="120" w:type="dxa"/>
            </w:tcMar>
          </w:tcPr>
          <w:p>
            <w:pPr>
              <w:spacing w:after="0"/>
            </w:pPr>
            <w:r>
              <w:rPr>
                <w:color w:val="334155"/>
                <w:sz w:val="17"/>
              </w:rPr>
              <w:t>₹25,00,000</w:t>
            </w:r>
          </w:p>
        </w:tc>
        <w:tc>
          <w:tcPr>
            <w:tcW w:type="dxa" w:w="1152"/>
            <w:shd w:fill="F8FAFC"/>
            <w:tcMar>
              <w:top w:w="80" w:type="dxa"/>
              <w:bottom w:w="80" w:type="dxa"/>
              <w:left w:w="120" w:type="dxa"/>
              <w:right w:w="120" w:type="dxa"/>
            </w:tcMar>
          </w:tcPr>
          <w:p>
            <w:pPr>
              <w:spacing w:after="0"/>
            </w:pPr>
            <w:r>
              <w:rPr>
                <w:color w:val="334155"/>
                <w:sz w:val="17"/>
              </w:rPr>
              <w:t>12.5%</w:t>
            </w:r>
          </w:p>
        </w:tc>
        <w:tc>
          <w:tcPr>
            <w:tcW w:type="dxa" w:w="3456"/>
            <w:shd w:fill="F8FAFC"/>
            <w:tcMar>
              <w:top w:w="80" w:type="dxa"/>
              <w:bottom w:w="80" w:type="dxa"/>
              <w:left w:w="120" w:type="dxa"/>
              <w:right w:w="120" w:type="dxa"/>
            </w:tcMar>
          </w:tcPr>
          <w:p>
            <w:pPr>
              <w:spacing w:after="0"/>
            </w:pPr>
            <w:r>
              <w:rPr>
                <w:color w:val="334155"/>
                <w:sz w:val="17"/>
              </w:rPr>
              <w:t>Senior excise legal counsel for liaisoning and Section 142 defense structuring</w:t>
            </w:r>
          </w:p>
        </w:tc>
      </w:tr>
      <w:tr>
        <w:tc>
          <w:tcPr>
            <w:tcW w:type="dxa" w:w="2880"/>
            <w:shd w:fill="FFFFFF"/>
            <w:tcMar>
              <w:top w:w="80" w:type="dxa"/>
              <w:bottom w:w="80" w:type="dxa"/>
              <w:left w:w="120" w:type="dxa"/>
              <w:right w:w="120" w:type="dxa"/>
            </w:tcMar>
          </w:tcPr>
          <w:p>
            <w:pPr>
              <w:spacing w:after="0"/>
            </w:pPr>
            <w:r>
              <w:rPr>
                <w:b/>
                <w:color w:val="0F172A"/>
                <w:sz w:val="17"/>
              </w:rPr>
              <w:t>Legal Metrology &amp; FSSAI Multi-Unit Approvals</w:t>
            </w:r>
          </w:p>
        </w:tc>
        <w:tc>
          <w:tcPr>
            <w:tcW w:type="dxa" w:w="1872"/>
            <w:shd w:fill="FFFFFF"/>
            <w:tcMar>
              <w:top w:w="80" w:type="dxa"/>
              <w:bottom w:w="80" w:type="dxa"/>
              <w:left w:w="120" w:type="dxa"/>
              <w:right w:w="120" w:type="dxa"/>
            </w:tcMar>
          </w:tcPr>
          <w:p>
            <w:pPr>
              <w:spacing w:after="0"/>
            </w:pPr>
            <w:r>
              <w:rPr>
                <w:color w:val="334155"/>
                <w:sz w:val="17"/>
              </w:rPr>
              <w:t>₹10,00,000</w:t>
            </w:r>
          </w:p>
        </w:tc>
        <w:tc>
          <w:tcPr>
            <w:tcW w:type="dxa" w:w="1152"/>
            <w:shd w:fill="FFFFFF"/>
            <w:tcMar>
              <w:top w:w="80" w:type="dxa"/>
              <w:bottom w:w="80" w:type="dxa"/>
              <w:left w:w="120" w:type="dxa"/>
              <w:right w:w="120" w:type="dxa"/>
            </w:tcMar>
          </w:tcPr>
          <w:p>
            <w:pPr>
              <w:spacing w:after="0"/>
            </w:pPr>
            <w:r>
              <w:rPr>
                <w:color w:val="334155"/>
                <w:sz w:val="17"/>
              </w:rPr>
              <w:t>5.0%</w:t>
            </w:r>
          </w:p>
        </w:tc>
        <w:tc>
          <w:tcPr>
            <w:tcW w:type="dxa" w:w="3456"/>
            <w:shd w:fill="FFFFFF"/>
            <w:tcMar>
              <w:top w:w="80" w:type="dxa"/>
              <w:bottom w:w="80" w:type="dxa"/>
              <w:left w:w="120" w:type="dxa"/>
              <w:right w:w="120" w:type="dxa"/>
            </w:tcMar>
          </w:tcPr>
          <w:p>
            <w:pPr>
              <w:spacing w:after="0"/>
            </w:pPr>
            <w:r>
              <w:rPr>
                <w:color w:val="334155"/>
                <w:sz w:val="17"/>
              </w:rPr>
              <w:t>Weights &amp; measures stamping, central FSSAI registration across 6 SKUs</w:t>
            </w:r>
          </w:p>
        </w:tc>
      </w:tr>
      <w:tr>
        <w:tc>
          <w:tcPr>
            <w:tcW w:type="dxa" w:w="2880"/>
            <w:shd w:fill="F8FAFC"/>
            <w:tcMar>
              <w:top w:w="80" w:type="dxa"/>
              <w:bottom w:w="80" w:type="dxa"/>
              <w:left w:w="120" w:type="dxa"/>
              <w:right w:w="120" w:type="dxa"/>
            </w:tcMar>
          </w:tcPr>
          <w:p>
            <w:pPr>
              <w:spacing w:after="0"/>
            </w:pPr>
            <w:r>
              <w:rPr>
                <w:b/>
                <w:color w:val="0F172A"/>
                <w:sz w:val="17"/>
              </w:rPr>
              <w:t>Statutory Regulatory Contingency Buffer</w:t>
            </w:r>
          </w:p>
        </w:tc>
        <w:tc>
          <w:tcPr>
            <w:tcW w:type="dxa" w:w="1872"/>
            <w:shd w:fill="F8FAFC"/>
            <w:tcMar>
              <w:top w:w="80" w:type="dxa"/>
              <w:bottom w:w="80" w:type="dxa"/>
              <w:left w:w="120" w:type="dxa"/>
              <w:right w:w="120" w:type="dxa"/>
            </w:tcMar>
          </w:tcPr>
          <w:p>
            <w:pPr>
              <w:spacing w:after="0"/>
            </w:pPr>
            <w:r>
              <w:rPr>
                <w:color w:val="334155"/>
                <w:sz w:val="17"/>
              </w:rPr>
              <w:t>₹71,12,000</w:t>
            </w:r>
          </w:p>
        </w:tc>
        <w:tc>
          <w:tcPr>
            <w:tcW w:type="dxa" w:w="1152"/>
            <w:shd w:fill="F8FAFC"/>
            <w:tcMar>
              <w:top w:w="80" w:type="dxa"/>
              <w:bottom w:w="80" w:type="dxa"/>
              <w:left w:w="120" w:type="dxa"/>
              <w:right w:w="120" w:type="dxa"/>
            </w:tcMar>
          </w:tcPr>
          <w:p>
            <w:pPr>
              <w:spacing w:after="0"/>
            </w:pPr>
            <w:r>
              <w:rPr>
                <w:color w:val="334155"/>
                <w:sz w:val="17"/>
              </w:rPr>
              <w:t>35.6%</w:t>
            </w:r>
          </w:p>
        </w:tc>
        <w:tc>
          <w:tcPr>
            <w:tcW w:type="dxa" w:w="3456"/>
            <w:shd w:fill="F8FAFC"/>
            <w:tcMar>
              <w:top w:w="80" w:type="dxa"/>
              <w:bottom w:w="80" w:type="dxa"/>
              <w:left w:w="120" w:type="dxa"/>
              <w:right w:w="120" w:type="dxa"/>
            </w:tcMar>
          </w:tcPr>
          <w:p>
            <w:pPr>
              <w:spacing w:after="0"/>
            </w:pPr>
            <w:r>
              <w:rPr>
                <w:color w:val="334155"/>
                <w:sz w:val="17"/>
              </w:rPr>
              <w:t>Liquidity reserve for inter-state transit duty guarantees and policy adjustments</w:t>
            </w:r>
          </w:p>
        </w:tc>
      </w:tr>
      <w:tr>
        <w:tc>
          <w:tcPr>
            <w:tcW w:type="dxa" w:w="2880"/>
            <w:shd w:fill="FFFFFF"/>
            <w:tcMar>
              <w:top w:w="80" w:type="dxa"/>
              <w:bottom w:w="80" w:type="dxa"/>
              <w:left w:w="120" w:type="dxa"/>
              <w:right w:w="120" w:type="dxa"/>
            </w:tcMar>
          </w:tcPr>
          <w:p>
            <w:pPr>
              <w:spacing w:after="0"/>
            </w:pPr>
            <w:r>
              <w:rPr>
                <w:b/>
                <w:color w:val="0F172A"/>
                <w:sz w:val="17"/>
              </w:rPr>
              <w:t>TOTAL REGULATORY CAPITAL</w:t>
            </w:r>
          </w:p>
        </w:tc>
        <w:tc>
          <w:tcPr>
            <w:tcW w:type="dxa" w:w="1872"/>
            <w:shd w:fill="FFFFFF"/>
            <w:tcMar>
              <w:top w:w="80" w:type="dxa"/>
              <w:bottom w:w="80" w:type="dxa"/>
              <w:left w:w="120" w:type="dxa"/>
              <w:right w:w="120" w:type="dxa"/>
            </w:tcMar>
          </w:tcPr>
          <w:p>
            <w:pPr>
              <w:spacing w:after="0"/>
            </w:pPr>
            <w:r>
              <w:rPr>
                <w:color w:val="334155"/>
                <w:sz w:val="17"/>
              </w:rPr>
              <w:t>₹2,00,00,000</w:t>
            </w:r>
          </w:p>
        </w:tc>
        <w:tc>
          <w:tcPr>
            <w:tcW w:type="dxa" w:w="1152"/>
            <w:shd w:fill="FFFFFF"/>
            <w:tcMar>
              <w:top w:w="80" w:type="dxa"/>
              <w:bottom w:w="80" w:type="dxa"/>
              <w:left w:w="120" w:type="dxa"/>
              <w:right w:w="120" w:type="dxa"/>
            </w:tcMar>
          </w:tcPr>
          <w:p>
            <w:pPr>
              <w:spacing w:after="0"/>
            </w:pPr>
            <w:r>
              <w:rPr>
                <w:color w:val="334155"/>
                <w:sz w:val="17"/>
              </w:rPr>
              <w:t>100.0%</w:t>
            </w:r>
          </w:p>
        </w:tc>
        <w:tc>
          <w:tcPr>
            <w:tcW w:type="dxa" w:w="3456"/>
            <w:shd w:fill="FFFFFF"/>
            <w:tcMar>
              <w:top w:w="80" w:type="dxa"/>
              <w:bottom w:w="80" w:type="dxa"/>
              <w:left w:w="120" w:type="dxa"/>
              <w:right w:w="120" w:type="dxa"/>
            </w:tcMar>
          </w:tcPr>
          <w:p>
            <w:pPr>
              <w:spacing w:after="0"/>
            </w:pPr>
            <w:r>
              <w:rPr>
                <w:color w:val="334155"/>
                <w:sz w:val="17"/>
              </w:rPr>
              <w:t>Complete statutory runway covering Phase 1 and Phase 2 expansion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