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280" w:type="dxa"/>
              <w:bottom w:w="280" w:type="dxa"/>
              <w:left w:w="280" w:type="dxa"/>
              <w:right w:w="280" w:type="dxa"/>
            </w:tcMar>
          </w:tcPr>
          <w:p>
            <w:pPr>
              <w:spacing w:after="40"/>
              <w:jc w:val="left"/>
            </w:pPr>
            <w:r>
              <w:rPr>
                <w:b/>
                <w:color w:val="FBBF24"/>
                <w:sz w:val="19"/>
              </w:rPr>
              <w:t>PRIVATE PLACEMENT MEMORANDUM &amp; SERIES-A INVESTMENT PROSPECTUS</w:t>
              <w:br/>
            </w:r>
            <w:r>
              <w:rPr>
                <w:b/>
                <w:color w:val="FFFFFF"/>
                <w:sz w:val="36"/>
              </w:rPr>
              <w:t>FERABEE LIQUOR PRIVATE LIMITED</w:t>
              <w:br/>
              <w:t>SERIES-A EQUITY INVESTMENT DOSSIER</w:t>
              <w:br/>
            </w:r>
            <w:r>
              <w:rPr>
                <w:color w:val="E2E8F0"/>
                <w:sz w:val="22"/>
              </w:rPr>
              <w:t>Scaling India's First Direct-to-Consumer Craft Spirits &amp; Captive 367-Taluka Bee Lounge Network</w:t>
              <w:br/>
              <w:br/>
            </w:r>
            <w:r>
              <w:rPr>
                <w:color w:val="94A3B8"/>
                <w:sz w:val="17"/>
              </w:rPr>
              <w:t>Investment Ask: ₹18.00 Crore (25.0% Equity)  |  Pre-Money Valuation: ₹54.00 Crore  |  Target 36-Month MOIC: 3.5x – 10.8x</w:t>
            </w:r>
          </w:p>
        </w:tc>
      </w:tr>
    </w:tbl>
    <w:p>
      <w:pPr>
        <w:keepNext/>
        <w:spacing w:before="360" w:after="12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9"/>
        </w:rPr>
        <w:t>1. Executive Summary &amp; Core Investment Thesis</w:t>
      </w:r>
    </w:p>
    <w:p>
      <w:r>
        <w:t>FeraBee Liquor Private Limited ('FeraBee' or the 'Company') is an integrated alcoholic beverage brand and hospitality platform headquartered in Pune, Maharashtra, with licensed manufacturing operations in Goa. The Company couples a high-margin, 6-to-8 SKU premium spirit portfolio (Whisky, Vodka, Gin, Dark Rum, Craft Beer, Sparkling Wine) with an exclusive, captive distribution ecosystem consisting of 367 '100-Cover Bee Lounges' spanning all 355 Talukas of Maharashtra and 12 Talukas of Goa under a Franchise Owned Company Operated (FOCO)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color="10B981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47857"/>
                <w:sz w:val="19"/>
              </w:rPr>
              <w:t xml:space="preserve">★ CORE STRATEGIC ADVANTAGE: </w:t>
            </w:r>
            <w:r>
              <w:rPr>
                <w:color w:val="0F172A"/>
                <w:sz w:val="19"/>
              </w:rPr>
              <w:t>The Structural Alcobev Moat: By building a proprietary chain of 367 lounges, FeraBee bypasses state corporation retail bottlenecks, distributor cartels, and extortionate shelf-placement fees. The lounge network provides guaranteed off-take liquidation of 2,09,190 cases (1.88 Million Litres) annually, capturing both manufacturer wholesale margin (15-35%) and recurring retail franchise royalties (6%).</w:t>
            </w:r>
          </w:p>
        </w:tc>
      </w:tr>
    </w:tbl>
    <w:p>
      <w:pPr>
        <w:keepNext/>
        <w:spacing w:before="360" w:after="12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9"/>
        </w:rPr>
        <w:t>2. Market Opportunity &amp; Industry Landscape</w:t>
      </w:r>
    </w:p>
    <w:p>
      <w:r>
        <w:t>The Indian Alcoholic Beverage market is valued at over ₹4.5 Lakh Crore ($55 Billion) and is undergoing an unprecedented structural transition driven by 'Premiumization' and experiential dining:</w:t>
        <w:br/>
        <w:t>• Premium IMFL &amp; Craft Spirits Growth: Growing at an 18.2% CAGR, vastly outpacing mass-market liquor.</w:t>
        <w:br/>
        <w:t>• Direct-to-Consumer / Captive Disruption: Traditional liquor brands spend 30-40% of revenues on retail push marketing and retailer kickbacks. FeraBee replaces this marketing drain with high-margin experiential hospitality.</w:t>
        <w:br/>
        <w:t>• Maharashtra Alcobev Dominance: Maharashtra represents the highest-revenue liquor consuming market in India, generating over ₹25,000 Crore in annual state excise revenues.</w:t>
      </w:r>
    </w:p>
    <w:p>
      <w:pPr>
        <w:keepNext/>
        <w:spacing w:before="360" w:after="12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9"/>
        </w:rPr>
        <w:t>3. Product Portfolio &amp; Unit Margin Architecture</w:t>
      </w:r>
    </w:p>
    <w:p>
      <w:r>
        <w:t>FeraBee’s product architecture is engineered to achieve industry-leading gross profit margins (64% to 85%) across all major consumption occasions: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1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Product SKU</w:t>
            </w:r>
          </w:p>
        </w:tc>
        <w:tc>
          <w:tcPr>
            <w:tcW w:type="dxa" w:w="201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172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Packaging Format</w:t>
            </w:r>
          </w:p>
        </w:tc>
        <w:tc>
          <w:tcPr>
            <w:tcW w:type="dxa" w:w="100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Goa MRP (₹)</w:t>
            </w:r>
          </w:p>
        </w:tc>
        <w:tc>
          <w:tcPr>
            <w:tcW w:type="dxa" w:w="100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MH MRP (₹)</w:t>
            </w:r>
          </w:p>
        </w:tc>
        <w:tc>
          <w:tcPr>
            <w:tcW w:type="dxa" w:w="100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Serving COGS</w:t>
            </w:r>
          </w:p>
        </w:tc>
        <w:tc>
          <w:tcPr>
            <w:tcW w:type="dxa" w:w="100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Bar Menu Price</w:t>
            </w:r>
          </w:p>
        </w:tc>
        <w:tc>
          <w:tcPr>
            <w:tcW w:type="dxa" w:w="100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Gross Margin (%)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FeraBee Reserve Whisky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42.8% Grain &amp; Malt, Honey Finish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750ml Black Glass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₹1,350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₹2,200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₹35 / 60ml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₹180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80.5%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FeraBee Pure Vodka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42.8% Triple-Distilled Grain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750ml Clear Glass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₹1,150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₹1,900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₹22 / 60ml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₹150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85.3%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FeraBee Botanical Gin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42.8% Artisanal Botanicals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750ml Clear Glass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₹1,450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₹2,400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₹30 / 60ml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₹170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82.3%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FeraBee Dark Rum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42.8% Aged Molasses Rum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750ml Glass Bottle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₹1,050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₹1,700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₹25 / 60ml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₹140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82.1%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FeraBee Crisp Lager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5.0% ABV Craft Lager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650ml Btl / 500ml Can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₹140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₹250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₹55 / 500ml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₹180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69.4%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FeraBee Sparkling Wine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12.0% ABV Sparkling Brut/Rose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750ml Glass Bottle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₹850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₹1,500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₹90 / 150ml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₹250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64.0%</w:t>
            </w:r>
          </w:p>
        </w:tc>
      </w:tr>
    </w:tbl>
    <w:p>
      <w:pPr>
        <w:keepNext/>
        <w:spacing w:before="360" w:after="12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9"/>
        </w:rPr>
        <w:t>4. The Captive Retail Engine: 100-Cover Bee Lounge Economics</w:t>
      </w:r>
    </w:p>
    <w:p>
      <w:r>
        <w:t>Each Bee Lounge operates as a 2,500–3,000 sq.ft high-density experiential destination. The commercial driver is the proprietary 'Prix-Fixe Culinary &amp; Spirits Tasting Package' structured in full compliance with the Maharashtra Prohibition Act, 1949 via RFID smart token dispensing.</w:t>
      </w:r>
    </w:p>
    <w:p>
      <w:pPr>
        <w:keepNext/>
        <w:spacing w:before="240" w:after="80"/>
      </w:pPr>
      <w:r>
        <w:rPr>
          <w:rFonts w:ascii="Calibri" w:hAnsi="Calibri"/>
          <w:b/>
          <w:color w:val="1E3A8A"/>
          <w:sz w:val="24"/>
        </w:rPr>
        <w:t>4.1 Per-Outlet Monthly P&amp;L (Validated FOCO Benchmark)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P&amp;L Head</w:t>
            </w:r>
          </w:p>
        </w:tc>
        <w:tc>
          <w:tcPr>
            <w:tcW w:type="dxa" w:w="201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Monthly Amount (₹)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Share of Revenue (%)</w:t>
            </w:r>
          </w:p>
        </w:tc>
        <w:tc>
          <w:tcPr>
            <w:tcW w:type="dxa" w:w="460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Operational Drivers &amp; Cost Breakdown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Unlimited Package Sales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₹40,92,270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80.4%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105 guests/day @ ₹1,499 avg ticket × 26 operating days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A La Carte Food &amp; Cocktails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₹9,94,500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19.6%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45 guests/day @ ₹850 avg spend × 26 operating days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TOTAL MONTHLY REVENUE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₹50,86,770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100.0%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Gross annualized turnover of ₹6.10 Crore per lounge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Food &amp; Spirits COGS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₹24,41,650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48.0%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Raw material culinary stock + internal FeraBee spirit supplies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GROSS OPERATING PROFIT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₹26,45,120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52.0%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Healthy store-level gross profit margin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Real Estate Rent &amp; CAM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₹4,50,000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8.8%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Prime arterial highway / high-street 3,000 sq.ft lease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Staff Payroll (22 Employees)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₹5,50,000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10.8%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2-shift roster: Master Chef, Bartenders, Stewards, Bouncers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Utilities, HVAC &amp; Refrigeration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₹1,50,000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2.9%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Heavy continuous cooling for beer kegs and dining floor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Franchise Royalty (6%)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₹1,50,000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2.9%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Paid monthly to FeraBee brand parent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FL-III License Amortization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₹1,20,000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2.4%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Amortization of ₹14.4 Lakh annual MH FL-III bar license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Marketing, SaaS Tech &amp; Security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₹2,30,000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4.5%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RFID tokens, IoT pourer cloud, local digital ads, security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TOTAL MONTHLY OPEX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₹16,50,000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32.4%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Comprehensive validated operating cost structure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NET MONTHLY PROFIT (EBIT)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₹9,95,120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19.6%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Delivers ₹1.19 Crore annual net cash flow to franchise owner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FRANCHISE PAYBACK PERIOD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12.6 – 18.0 Months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—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Payback on ₹1.25 Crore initial franchise setup capex</w:t>
            </w:r>
          </w:p>
        </w:tc>
      </w:tr>
    </w:tbl>
    <w:p>
      <w:pPr>
        <w:keepNext/>
        <w:spacing w:before="360" w:after="12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9"/>
        </w:rPr>
        <w:t>5. 3-Year Consolidated Corporate Financial Projections</w:t>
      </w:r>
    </w:p>
    <w:p>
      <w:r>
        <w:t>FeraBee captures multiple compounding revenue streams across its corporate platform: franchise royalties (6%), franchise onboarding fees (₹10L/unit), wholesale spirits supply margins (15%), and organic retail off-trade sales.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Financial Head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 1 (60 Lounges)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 2 (150 Lounges)</w:t>
            </w:r>
          </w:p>
        </w:tc>
        <w:tc>
          <w:tcPr>
            <w:tcW w:type="dxa" w:w="201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 3 Base (250 Lounges)</w:t>
            </w:r>
          </w:p>
        </w:tc>
        <w:tc>
          <w:tcPr>
            <w:tcW w:type="dxa" w:w="201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 3 Bull (367 Lounges)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Franchise Royalty (6%)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₹9.18 Crore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₹25.20 Crore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₹46.00 Crore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₹67.60 Crore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One-Time Franchise Fees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₹6.00 Crore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₹9.00 Crore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₹10.00 Crore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₹11.70 Crore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Wholesale Supply Margin (15%)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₹7.20 Crore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₹16.20 Crore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₹28.00 Crore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₹40.00 Crore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Retail Off-Trade Distribution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₹15.00 Crore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₹30.00 Crore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₹50.00 Crore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₹85.00 Crore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TOTAL CONSOLIDATED REVENUE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₹37.38 Crore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₹80.40 Crore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₹134.00 Crore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₹204.30 – ₹285.00 Cr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Central Overheads &amp; Marketing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₹27.38 Crore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₹57.40 Crore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₹98.00 Crore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₹126.30 Crore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CONSOLIDATED EBITDA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₹10.00 Cr (26.7%)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₹23.00 Cr (28.6%)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₹36.00 Cr (26.9%)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₹78.00 Cr (38.2%)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Target EV / EBITDA Multiple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8.0x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8.0x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8.0x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10.0x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ENTERPRISE VALUATION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₹80.00 Crore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₹184.00 Crore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₹288.00 Crore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₹780.00 Crore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Investor 25% Stake Value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₹20.00 Crore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₹46.00 Crore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₹72.00 Crore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₹195.00 Crore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Investor MOIC (on ₹18 Cr)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1.11x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2.55x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4.00x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10.83x</w:t>
            </w:r>
          </w:p>
        </w:tc>
      </w:tr>
    </w:tbl>
    <w:p>
      <w:pPr>
        <w:keepNext/>
        <w:spacing w:before="360" w:after="12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9"/>
        </w:rPr>
        <w:t>6. Capital Structuring, Use of Funds &amp; Investor Term Sheet</w:t>
      </w:r>
    </w:p>
    <w:p>
      <w:r>
        <w:t>The Company is raising ₹18.00 Crore in Series-A Preferred Equity for a 25.0% fully-diluted shareholding, pricing the round at a Pre-Money Valuation of ₹54.00 Crore and a Post-Money Valuation of ₹72.00 Crore.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Deployment Head</w:t>
            </w:r>
          </w:p>
        </w:tc>
        <w:tc>
          <w:tcPr>
            <w:tcW w:type="dxa" w:w="172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Amount (₹ Crore)</w:t>
            </w:r>
          </w:p>
        </w:tc>
        <w:tc>
          <w:tcPr>
            <w:tcW w:type="dxa" w:w="115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Share (%)</w:t>
            </w:r>
          </w:p>
        </w:tc>
        <w:tc>
          <w:tcPr>
            <w:tcW w:type="dxa" w:w="51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Deliverables &amp; Operational Objectives</w:t>
            </w:r>
          </w:p>
        </w:tc>
      </w:tr>
      <w:tr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Custom Bottle Moulds &amp; Tooling (6 SKUs)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₹4.20 Cr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23.3%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Exclusive production molds for Black Glass Whisky, Amber Beer, Gold Cans &amp; Embossed Caps.</w:t>
            </w:r>
          </w:p>
        </w:tc>
      </w:tr>
      <w:tr>
        <w:tc>
          <w:tcPr>
            <w:tcW w:type="dxa" w:w="27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3 Flagship COCO Flagships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₹3.45 Cr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19.2%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Corporate-owned showcase venues in Pune FC Road, Thane Ghodbunder, and Panjim (Goa).</w:t>
            </w:r>
          </w:p>
        </w:tc>
      </w:tr>
      <w:tr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Working Capital &amp; Statutory Security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₹3.00 Cr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16.7%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MSILC / GEMS statutory security deposits, raw material inventory buffers (ENA, Malt).</w:t>
            </w:r>
          </w:p>
        </w:tc>
      </w:tr>
      <w:tr>
        <w:tc>
          <w:tcPr>
            <w:tcW w:type="dxa" w:w="27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State Excise Licenses &amp; 24 Labels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₹2.00 Cr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11.1%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FL-1 wholesale hub in Pune/Thane, distillery lease advance, 24 multi-state label approvals.</w:t>
            </w:r>
          </w:p>
        </w:tc>
      </w:tr>
      <w:tr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Launch Marketing, PR &amp; Influencer Blitz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₹2.00 Cr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11.1%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State-wide brand awareness, launch galas, digital ads, and high-visibility billboards.</w:t>
            </w:r>
          </w:p>
        </w:tc>
      </w:tr>
      <w:tr>
        <w:tc>
          <w:tcPr>
            <w:tcW w:type="dxa" w:w="27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Executive &amp; Field Sales Organization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₹1.20 Cr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6.7%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Master Blender, Chief Legal/Excise Counsel, 10 Area Sales Managers, Franchise Head.</w:t>
            </w:r>
          </w:p>
        </w:tc>
      </w:tr>
      <w:tr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Contingency Buffer &amp; Reserve Runway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₹2.15 Cr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11.9%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Regulatory reserves, supply chain buffer, and 24-month operational cushion.</w:t>
            </w:r>
          </w:p>
        </w:tc>
      </w:tr>
      <w:tr>
        <w:tc>
          <w:tcPr>
            <w:tcW w:type="dxa" w:w="27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TOTAL CAPITAL DEPLOYMENT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₹18.00 Cr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100.0%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Fully-funded runway to achieve 150+ operational outlets without further dilution.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E3A8A"/>
          <w:sz w:val="24"/>
        </w:rPr>
        <w:t>6.1 Investor Term Sheet Core Provisions</w:t>
      </w:r>
    </w:p>
    <w:p>
      <w:r>
        <w:t>• Board Representation: 1 Investor Board Seat (Total 3-member Board: 2 Promoters + 1 Investor Representative).</w:t>
        <w:br/>
        <w:t>• Liquidation Preference: 1.0x Non-Participating Senior Liquidation Preference in the event of liquidation or M&amp;A.</w:t>
        <w:br/>
        <w:t>• Anti-Dilution Protection: Broad-Based Weighted Average Anti-Dilution mechanism on future funding rounds.</w:t>
        <w:br/>
        <w:t>• Information Rights: Monthly unaudited MIS, quarterly Board reviews, and annual audits conducted by a Big-4 or tier-1 CA firm.</w:t>
        <w:br/>
        <w:t>• Pre-Emptive Rights &amp; ROFR: Right of First Refusal and proportional tag-along rights on any promoter share transfers.</w:t>
      </w:r>
    </w:p>
    <w:p>
      <w:pPr>
        <w:keepNext/>
        <w:spacing w:before="360" w:after="12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9"/>
        </w:rPr>
        <w:t>7. Valuation Sensitivity &amp; Exit Strategy</w:t>
      </w:r>
    </w:p>
    <w:p>
      <w:r>
        <w:t>Investors benefit from clear liquidity mechanisms structured over a 24 to 36 month time horizon: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Scenario Dimension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Bear Case (Conservative)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Base Case (Target Realistic)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Bull Case (Maximum Scale)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Active Bee Lounges (Month 36)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150 Outlets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220 – 250 Outlets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367 Outlets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Consolidated Annual Revenue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₹61.0 Crore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₹118.0 – ₹134.0 Crore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₹204.3 – ₹285.0 Crore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Consolidated EBITDA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₹15.25 Crore (25%)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₹31.86 – ₹36.00 Cr (27%)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₹78.00 Crore (38.2%)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EV / EBITDA Valuation Multiple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6.0x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8.0x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10.0x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ENTERPRISE VALUATION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₹91.5 Crore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₹254.9 – ₹288.0 Crore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₹780.0 Crore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Investor 25% Equity Value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₹22.88 Crore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₹63.72 – ₹72.00 Crore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₹195.00 Crore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INVESTOR RETURN (MOIC)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1.27x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3.54x – 4.00x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10.83x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ESTIMATED 3-YEAR IRR (%)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8.3%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50.2% – 58.7%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121.2%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E3A8A"/>
          <w:sz w:val="24"/>
        </w:rPr>
        <w:t>7.1 Primary Exit Routes</w:t>
      </w:r>
    </w:p>
    <w:p>
      <w:r>
        <w:t>1. Strategic Acquisition (M&amp;A) at Month 36: Acquisition by global or domestic alcobev conglomerates (Diageo India, Pernod Ricard, AB InBev, Radico Khaitan) seeking captive distribution and craft portfolio penetration.</w:t>
        <w:br/>
        <w:t>2. Secondary PE Buyout / Series-B: Secondary sale to mid-market private equity funds specializing in consumer retail and F&amp;B platforms at Month 24 (Target ₹300 Cr+ valuation).</w:t>
        <w:br/>
        <w:t>3. Promoter Guaranteed Buyout: Contractual secondary buyout option at 24 months structured at a guaranteed 25% IRR hurdle.</w:t>
      </w:r>
    </w:p>
    <w:p>
      <w:pPr>
        <w:keepNext/>
        <w:spacing w:before="360" w:after="12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9"/>
        </w:rPr>
        <w:t>8. Phased Execution Roadmap &amp; Rollout Schedule</w:t>
      </w:r>
    </w:p>
    <w:p>
      <w:r>
        <w:t>The expansion across 367 Talukas is structured in five disciplined phases to ensure positive unit cash flows before geographic acceleration: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4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 Geographic Clusters</w:t>
            </w:r>
          </w:p>
        </w:tc>
        <w:tc>
          <w:tcPr>
            <w:tcW w:type="dxa" w:w="100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New Units</w:t>
            </w:r>
          </w:p>
        </w:tc>
        <w:tc>
          <w:tcPr>
            <w:tcW w:type="dxa" w:w="115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Cumulative Units</w:t>
            </w:r>
          </w:p>
        </w:tc>
        <w:tc>
          <w:tcPr>
            <w:tcW w:type="dxa" w:w="230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 Monthly Gross Sales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Pilot COCO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M1 – M3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Pune FC Road, Thane Ghodbunder, Panjim (Goa)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3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₹1.53 Crore / Month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Phase 1 FOCO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M4 – M6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Mumbai MMR (Andheri, BKC, Borivali, Navi Mumbai), North Goa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22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25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₹12.72 Crore / Month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Phase 2 FOCO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M7 – M12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Pune Baner/Kharadi, Nashik, Nagpur Urban, Aurangabad, Kolhapur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35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60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₹30.52 Crore / Month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Phase 3 FOCO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M13 – M24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Satara, Sangli, Solapur, Chandrapur, Amravati, South Goa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90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150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₹76.30 Crore / Month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Phase 4 FOCO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M25 – M36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Remaining Tier-2/3 Talukas across 355 Talukas of Maharashtra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100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250 – 367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₹127.17 – ₹186.60 Cr/Mo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