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 Black" w:hAnsi="Segoe UI Black"/>
          <w:color w:val="111111"/>
          <w:sz w:val="96"/>
        </w:rPr>
        <w:t>FERABEE</w:t>
      </w:r>
    </w:p>
    <w:p>
      <w:pPr>
        <w:jc w:val="center"/>
      </w:pPr>
      <w:r>
        <w:rPr>
          <w:rFonts w:ascii="Georgia" w:hAnsi="Georgia"/>
          <w:color w:val="D4AF37"/>
          <w:sz w:val="48"/>
        </w:rPr>
        <w:t>L I Q U O R</w:t>
      </w:r>
    </w:p>
    <w:p>
      <w:pPr>
        <w:spacing w:before="240"/>
        <w:jc w:val="center"/>
      </w:pPr>
      <w:r>
        <w:rPr>
          <w:color w:val="D4AF37"/>
        </w:rPr>
        <w:t>━━━━━━━━━━━━━━━━━━━━━━━</w:t>
      </w:r>
    </w:p>
    <w:p>
      <w:pPr>
        <w:spacing w:before="32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abee_whisky_17866302254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Segoe UI" w:hAnsi="Segoe UI"/>
          <w:color w:val="787878"/>
          <w:sz w:val="22"/>
        </w:rPr>
        <w:t>INVESTOR PITCH DECK</w:t>
        <w:br/>
        <w:t>Series A  —  ₹18.0 Crore for 25% Equity</w:t>
        <w:br/>
        <w:t>August 2026  |  Confidential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C0392B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FFFFFF"/>
                <w:sz w:val="44"/>
              </w:rPr>
              <w:t>THE PROBLEM</w:t>
            </w:r>
          </w:p>
        </w:tc>
      </w:tr>
    </w:tbl>
    <w:p>
      <w:pPr>
        <w:spacing w:after="240"/>
      </w:pPr>
    </w:p>
    <w:p>
      <w:pPr>
        <w:spacing w:after="320"/>
        <w:jc w:val="center"/>
      </w:pPr>
      <w:r>
        <w:rPr>
          <w:rFonts w:ascii="Georgia" w:hAnsi="Georgia"/>
          <w:i/>
          <w:color w:val="646464"/>
          <w:sz w:val="26"/>
        </w:rPr>
        <w:t>Why India's ₹5,200 Crore Premium Alcobev Market is Broken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 Semibold" w:hAnsi="Segoe UI Semibold"/>
          <w:color w:val="111111"/>
          <w:sz w:val="22"/>
        </w:rPr>
        <w:t xml:space="preserve">Death by Distribution: </w:t>
      </w:r>
      <w:r>
        <w:rPr>
          <w:rFonts w:ascii="Segoe UI" w:hAnsi="Segoe UI"/>
          <w:color w:val="3C3C3C"/>
          <w:sz w:val="22"/>
        </w:rPr>
        <w:t>Over 60% of brand margins are lost to middlemen — wholesalers, wine shops, retail bars.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 Semibold" w:hAnsi="Segoe UI Semibold"/>
          <w:color w:val="111111"/>
          <w:sz w:val="22"/>
        </w:rPr>
        <w:t xml:space="preserve">Archaic Pricing: </w:t>
      </w:r>
      <w:r>
        <w:rPr>
          <w:rFonts w:ascii="Segoe UI" w:hAnsi="Segoe UI"/>
          <w:color w:val="3C3C3C"/>
          <w:sz w:val="22"/>
        </w:rPr>
        <w:t>Outdated 1-by-1 peg pricing models alienate Gen Z and Millennial consumers who seek experiential dining.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 Semibold" w:hAnsi="Segoe UI Semibold"/>
          <w:color w:val="111111"/>
          <w:sz w:val="22"/>
        </w:rPr>
        <w:t xml:space="preserve">Regulatory Maze: </w:t>
      </w:r>
      <w:r>
        <w:rPr>
          <w:rFonts w:ascii="Segoe UI" w:hAnsi="Segoe UI"/>
          <w:color w:val="3C3C3C"/>
          <w:sz w:val="22"/>
        </w:rPr>
        <w:t>State excise complexity creates opaque supply chains, making tracking and compliance nearly impossible for emerging brands.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 Semibold" w:hAnsi="Segoe UI Semibold"/>
          <w:color w:val="111111"/>
          <w:sz w:val="22"/>
        </w:rPr>
        <w:t xml:space="preserve">Zero Incumbents: </w:t>
      </w:r>
      <w:r>
        <w:rPr>
          <w:rFonts w:ascii="Segoe UI" w:hAnsi="Segoe UI"/>
          <w:color w:val="3C3C3C"/>
          <w:sz w:val="22"/>
        </w:rPr>
        <w:t>India has zero nationally scaled 'brand-owned lounge chains' in the premium spirits segment. The whitespace is massive.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4AF37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111111"/>
                <w:sz w:val="44"/>
              </w:rPr>
              <w:t>THE FERABEE SOLUTION</w:t>
            </w:r>
          </w:p>
        </w:tc>
      </w:tr>
    </w:tbl>
    <w:p>
      <w:pPr>
        <w:spacing w:after="240"/>
      </w:pPr>
    </w:p>
    <w:p>
      <w:pPr>
        <w:spacing w:after="320"/>
        <w:jc w:val="center"/>
      </w:pPr>
      <w:r>
        <w:rPr>
          <w:rFonts w:ascii="Georgia" w:hAnsi="Georgia"/>
          <w:i/>
          <w:color w:val="646464"/>
          <w:sz w:val="26"/>
        </w:rPr>
        <w:t>Vertically Integrated: Manufacture → Distribute → Serve → Profit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 Semibold" w:hAnsi="Segoe UI Semibold"/>
          <w:color w:val="111111"/>
          <w:sz w:val="22"/>
        </w:rPr>
        <w:t xml:space="preserve">Own the Product: </w:t>
      </w:r>
      <w:r>
        <w:rPr>
          <w:rFonts w:ascii="Segoe UI" w:hAnsi="Segoe UI"/>
          <w:color w:val="3C3C3C"/>
          <w:sz w:val="22"/>
        </w:rPr>
        <w:t>Manufacture proprietary premium spirits (Whisky, Vodka, Gin, Rum, Beer) with luxury 'Gold on Black' packaging.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 Semibold" w:hAnsi="Segoe UI Semibold"/>
          <w:color w:val="111111"/>
          <w:sz w:val="22"/>
        </w:rPr>
        <w:t xml:space="preserve">Own the Distribution: </w:t>
      </w:r>
      <w:r>
        <w:rPr>
          <w:rFonts w:ascii="Segoe UI" w:hAnsi="Segoe UI"/>
          <w:color w:val="3C3C3C"/>
          <w:sz w:val="22"/>
        </w:rPr>
        <w:t>Deploy 367 'FeraBee Bee Lounges' — branded, Instagrammable, 100-cover premium dining destinations.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 Semibold" w:hAnsi="Segoe UI Semibold"/>
          <w:color w:val="111111"/>
          <w:sz w:val="22"/>
        </w:rPr>
        <w:t xml:space="preserve">Own the Experience: </w:t>
      </w:r>
      <w:r>
        <w:rPr>
          <w:rFonts w:ascii="Segoe UI" w:hAnsi="Segoe UI"/>
          <w:color w:val="3C3C3C"/>
          <w:sz w:val="22"/>
        </w:rPr>
        <w:t>Pre-Paid 'Curated Flights' Token System delivering extreme perceived value at guaranteed 50%+ gross margins.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 Semibold" w:hAnsi="Segoe UI Semibold"/>
          <w:color w:val="111111"/>
          <w:sz w:val="22"/>
        </w:rPr>
        <w:t xml:space="preserve">Own the Brand: </w:t>
      </w:r>
      <w:r>
        <w:rPr>
          <w:rFonts w:ascii="Segoe UI" w:hAnsi="Segoe UI"/>
          <w:color w:val="3C3C3C"/>
          <w:sz w:val="22"/>
        </w:rPr>
        <w:t>Franchise Owned Company Operated (FOCO) — franchisees invest capex, FeraBee controls operations &amp; quality.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A1628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44"/>
              </w:rPr>
              <w:t>MARKET OPPORTUNITY</w:t>
            </w:r>
          </w:p>
        </w:tc>
      </w:tr>
    </w:tbl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0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_t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i/>
          <w:color w:val="808080"/>
          <w:sz w:val="18"/>
        </w:rPr>
        <w:t>TAM → SAM → SOM Funnel</w:t>
      </w:r>
    </w:p>
    <w:p>
      <w:pPr>
        <w:spacing w:after="120"/>
      </w:pP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" w:hAnsi="Segoe UI"/>
          <w:color w:val="3C3C3C"/>
          <w:sz w:val="22"/>
        </w:rPr>
        <w:t>Indian Alcobev market: $52 Billion (2025), growing at 12% CAGR.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" w:hAnsi="Segoe UI"/>
          <w:color w:val="3C3C3C"/>
          <w:sz w:val="22"/>
        </w:rPr>
        <w:t>Premium segment (where FeraBee competes): Growing at 18% CAGR — fastest sub-segment.</w:t>
      </w:r>
    </w:p>
    <w:p>
      <w:pPr>
        <w:spacing w:after="120"/>
        <w:ind w:left="504"/>
      </w:pPr>
      <w:r>
        <w:rPr>
          <w:color w:val="D4AF37"/>
          <w:sz w:val="16"/>
        </w:rPr>
        <w:t xml:space="preserve">◉  </w:t>
      </w:r>
      <w:r>
        <w:rPr>
          <w:rFonts w:ascii="Segoe UI" w:hAnsi="Segoe UI"/>
          <w:color w:val="3C3C3C"/>
          <w:sz w:val="22"/>
        </w:rPr>
        <w:t>Maharashtra alone contributes 25% of national spirits consumption. 355 Talukas = massive whitespace.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4AF37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111111"/>
                <w:sz w:val="44"/>
              </w:rPr>
              <w:t>THE PRODUCT PORTFOLIO</w:t>
            </w:r>
          </w:p>
        </w:tc>
      </w:tr>
    </w:tbl>
    <w:p>
      <w:pPr>
        <w:spacing w:after="240"/>
      </w:pPr>
    </w:p>
    <w:p>
      <w:pPr>
        <w:spacing w:after="320"/>
        <w:jc w:val="center"/>
      </w:pPr>
      <w:r>
        <w:rPr>
          <w:rFonts w:ascii="Georgia" w:hAnsi="Georgia"/>
          <w:i/>
          <w:color w:val="646464"/>
          <w:sz w:val="26"/>
        </w:rPr>
        <w:t>6 Core SKUs — 42.8% v/v Premium IMFL Standard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8E8E8"/>
          <w:insideV w:val="single" w:sz="4" w:space="0" w:color="E8E8E8"/>
          <w:left w:val="none"/>
          <w:right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Product</w:t>
            </w:r>
          </w:p>
        </w:tc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Specification</w:t>
            </w:r>
          </w:p>
        </w:tc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Packaging</w:t>
            </w:r>
          </w:p>
        </w:tc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Target MRP (MH)</w:t>
            </w:r>
          </w:p>
        </w:tc>
      </w:tr>
      <w:tr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FeraBee Whisky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Grain &amp; Malt, Honey Finish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750ml Custom Black Glass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₹2,200</w:t>
            </w:r>
          </w:p>
        </w:tc>
      </w:tr>
      <w:tr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FeraBee Vodka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Triple-Distilled, Charcoal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750ml Clear Glass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₹1,900</w:t>
            </w:r>
          </w:p>
        </w:tc>
      </w:tr>
      <w:tr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FeraBee Gin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Artisanal Botanical Blend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750ml Clear Glass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₹2,400</w:t>
            </w:r>
          </w:p>
        </w:tc>
      </w:tr>
      <w:tr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FeraBee Rum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Premium Dark Molasses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750ml Glass Bottle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₹1,700</w:t>
            </w:r>
          </w:p>
        </w:tc>
      </w:tr>
      <w:tr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FeraBee Beer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5.0% Premium Crisp Lager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650ml Bottle / 500ml Can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₹250</w:t>
            </w:r>
          </w:p>
        </w:tc>
      </w:tr>
      <w:tr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FeraBee Wine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12.0% Sparkling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750ml Glass Bottle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₹1,500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A1628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44"/>
              </w:rPr>
              <w:t>UNIT ECONOMICS — PER OUTLET</w:t>
            </w:r>
          </w:p>
        </w:tc>
      </w:tr>
    </w:tbl>
    <w:p>
      <w:pPr>
        <w:spacing w:after="240"/>
      </w:pPr>
    </w:p>
    <w:p>
      <w:pPr>
        <w:spacing w:after="320"/>
        <w:jc w:val="center"/>
      </w:pPr>
      <w:r>
        <w:rPr>
          <w:rFonts w:ascii="Georgia" w:hAnsi="Georgia"/>
          <w:i/>
          <w:color w:val="646464"/>
          <w:sz w:val="26"/>
        </w:rPr>
        <w:t>Conservative, Legally Compliant Projections Using Token 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8E8E8"/>
          <w:insideV w:val="single" w:sz="4" w:space="0" w:color="E8E8E8"/>
          <w:left w:val="none"/>
          <w:right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Tier</w:t>
            </w:r>
          </w:p>
        </w:tc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Price</w:t>
            </w:r>
          </w:p>
        </w:tc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Inclusions</w:t>
            </w:r>
          </w:p>
        </w:tc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Gross Margin</w:t>
            </w:r>
          </w:p>
        </w:tc>
      </w:tr>
      <w:tr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Silver Hive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₹999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Unlimited Food + 4 Beer/Vodka Tokens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55%</w:t>
            </w:r>
          </w:p>
        </w:tc>
      </w:tr>
      <w:tr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Gold Bee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₹1,499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Unlimited Food + 6 Spirit Tokens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52%</w:t>
            </w:r>
          </w:p>
        </w:tc>
      </w:tr>
      <w:tr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Platinum Royal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₹1,999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Unlimited Food + 8 All-Spirit Tokens + BBQ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50%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BF9F1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48"/>
              </w:rPr>
              <w:t>₹5.0L – ₹8.0L</w:t>
              <w:br/>
            </w:r>
            <w:r>
              <w:rPr>
                <w:rFonts w:ascii="Segoe UI" w:hAnsi="Segoe UI"/>
                <w:color w:val="646464"/>
                <w:sz w:val="20"/>
              </w:rPr>
              <w:t>Revised Monthly Net Profit per Outlet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BF9F1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48"/>
              </w:rPr>
              <w:t>18–24 MONTHS</w:t>
              <w:br/>
            </w:r>
            <w:r>
              <w:rPr>
                <w:rFonts w:ascii="Segoe UI" w:hAnsi="Segoe UI"/>
                <w:color w:val="646464"/>
                <w:sz w:val="20"/>
              </w:rPr>
              <w:t>Revised Franchise Payback Period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A1628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44"/>
              </w:rPr>
              <w:t>COMPETITIVE LANDSCAPE</w:t>
            </w:r>
          </w:p>
        </w:tc>
      </w:tr>
    </w:tbl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106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_competi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i/>
          <w:color w:val="808080"/>
          <w:sz w:val="18"/>
        </w:rPr>
        <w:t>FeraBee vs. Key Competitors: Scale &amp; Ticket Size</w:t>
      </w:r>
    </w:p>
    <w:p>
      <w:pPr>
        <w:spacing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4AF37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111111"/>
                <w:sz w:val="44"/>
              </w:rPr>
              <w:t>3-YEAR GROWTH ROADMAP</w:t>
            </w:r>
          </w:p>
        </w:tc>
      </w:tr>
    </w:tbl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09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0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i/>
          <w:color w:val="808080"/>
          <w:sz w:val="18"/>
        </w:rPr>
        <w:t>Quarterly Revenue &amp; EBITDA Trajectory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8E8E8"/>
          <w:insideV w:val="single" w:sz="4" w:space="0" w:color="E8E8E8"/>
          <w:left w:val="none"/>
          <w:right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Phase</w:t>
            </w:r>
          </w:p>
        </w:tc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Timeline</w:t>
            </w:r>
          </w:p>
        </w:tc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Region</w:t>
            </w:r>
          </w:p>
        </w:tc>
        <w:tc>
          <w:tcPr>
            <w:tcW w:type="dxa" w:w="2628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Outlets</w:t>
            </w:r>
          </w:p>
        </w:tc>
      </w:tr>
      <w:tr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Pilot COCO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M1–M3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Mumbai (Andheri, BKC, Powai)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3</w:t>
            </w:r>
          </w:p>
        </w:tc>
      </w:tr>
      <w:tr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Phase 1 FOCO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M4–M6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Mumbai-Thane-Navi Mumbai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20</w:t>
            </w:r>
          </w:p>
        </w:tc>
      </w:tr>
      <w:tr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Phase 2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M7–M12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Pune, Nashik, Nagpur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60</w:t>
            </w:r>
          </w:p>
        </w:tc>
      </w:tr>
      <w:tr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Phase 3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M13–M24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Deep Maharashtra + Goa</w:t>
            </w:r>
          </w:p>
        </w:tc>
        <w:tc>
          <w:tcPr>
            <w:tcW w:type="dxa" w:w="2628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200</w:t>
            </w:r>
          </w:p>
        </w:tc>
      </w:tr>
      <w:tr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Phase 4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M25–M36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Full 367 Taluka Coverage</w:t>
            </w:r>
          </w:p>
        </w:tc>
        <w:tc>
          <w:tcPr>
            <w:tcW w:type="dxa" w:w="26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367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A1628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44"/>
              </w:rPr>
              <w:t>THE INVESTMENT ASK</w:t>
            </w:r>
          </w:p>
        </w:tc>
      </w:tr>
    </w:tbl>
    <w:p>
      <w:pPr>
        <w:spacing w:after="240"/>
      </w:pPr>
    </w:p>
    <w:p>
      <w:pPr>
        <w:spacing w:after="320"/>
        <w:jc w:val="center"/>
      </w:pPr>
      <w:r>
        <w:rPr>
          <w:rFonts w:ascii="Georgia" w:hAnsi="Georgia"/>
          <w:i/>
          <w:color w:val="646464"/>
          <w:sz w:val="26"/>
        </w:rPr>
        <w:t>₹18.0 Crore for 25.0% Equity Stake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852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_fu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i/>
          <w:color w:val="808080"/>
          <w:sz w:val="18"/>
        </w:rPr>
        <w:t>Allocation of ₹18 Crore Equity Raise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8E8E8"/>
          <w:insideV w:val="single" w:sz="4" w:space="0" w:color="E8E8E8"/>
          <w:left w:val="none"/>
          <w:right w:val="none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Capital Source</w:t>
            </w:r>
          </w:p>
        </w:tc>
        <w:tc>
          <w:tcPr>
            <w:tcW w:type="dxa" w:w="3504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Amount</w:t>
            </w:r>
          </w:p>
        </w:tc>
        <w:tc>
          <w:tcPr>
            <w:tcW w:type="dxa" w:w="3504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Terms</w:t>
            </w:r>
          </w:p>
        </w:tc>
      </w:tr>
      <w:tr>
        <w:tc>
          <w:tcPr>
            <w:tcW w:type="dxa" w:w="350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Founders' Equity</w:t>
            </w:r>
          </w:p>
        </w:tc>
        <w:tc>
          <w:tcPr>
            <w:tcW w:type="dxa" w:w="350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₹50 Lakh</w:t>
            </w:r>
          </w:p>
        </w:tc>
        <w:tc>
          <w:tcPr>
            <w:tcW w:type="dxa" w:w="350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51:49 Equity</w:t>
            </w:r>
          </w:p>
        </w:tc>
      </w:tr>
      <w:tr>
        <w:tc>
          <w:tcPr>
            <w:tcW w:type="dxa" w:w="3504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Bank CC Facility</w:t>
            </w:r>
          </w:p>
        </w:tc>
        <w:tc>
          <w:tcPr>
            <w:tcW w:type="dxa" w:w="3504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₹3.5 Crore</w:t>
            </w:r>
          </w:p>
        </w:tc>
        <w:tc>
          <w:tcPr>
            <w:tcW w:type="dxa" w:w="3504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Secured Working Capital</w:t>
            </w:r>
          </w:p>
        </w:tc>
      </w:tr>
      <w:tr>
        <w:tc>
          <w:tcPr>
            <w:tcW w:type="dxa" w:w="350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External Equity Raise</w:t>
            </w:r>
          </w:p>
        </w:tc>
        <w:tc>
          <w:tcPr>
            <w:tcW w:type="dxa" w:w="350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₹18.0 Crore</w:t>
            </w:r>
          </w:p>
        </w:tc>
        <w:tc>
          <w:tcPr>
            <w:tcW w:type="dxa" w:w="3504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25% Preferred Equity</w:t>
            </w:r>
          </w:p>
        </w:tc>
      </w:tr>
      <w:tr>
        <w:tc>
          <w:tcPr>
            <w:tcW w:type="dxa" w:w="3504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TOTAL</w:t>
            </w:r>
          </w:p>
        </w:tc>
        <w:tc>
          <w:tcPr>
            <w:tcW w:type="dxa" w:w="3504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₹22.0 Crore</w:t>
            </w:r>
          </w:p>
        </w:tc>
        <w:tc>
          <w:tcPr>
            <w:tcW w:type="dxa" w:w="3504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Full Operational Runway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4AF37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111111"/>
                <w:sz w:val="44"/>
              </w:rPr>
              <w:t>EXIT &amp; RETURNS</w:t>
            </w:r>
          </w:p>
        </w:tc>
      </w:tr>
    </w:tbl>
    <w:p>
      <w:pPr>
        <w:spacing w:after="240"/>
      </w:pPr>
    </w:p>
    <w:p>
      <w:pPr>
        <w:spacing w:after="320"/>
        <w:jc w:val="center"/>
      </w:pPr>
      <w:r>
        <w:rPr>
          <w:rFonts w:ascii="Georgia" w:hAnsi="Georgia"/>
          <w:i/>
          <w:color w:val="646464"/>
          <w:sz w:val="26"/>
        </w:rPr>
        <w:t>Conservative, Legally Defensible Valuation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8E8E8"/>
          <w:insideV w:val="single" w:sz="4" w:space="0" w:color="E8E8E8"/>
          <w:left w:val="none"/>
          <w:right w:val="none"/>
        </w:tblBorders>
      </w:tblPr>
      <w:tblGrid>
        <w:gridCol w:w="5256"/>
        <w:gridCol w:w="5256"/>
      </w:tblGrid>
      <w:tr>
        <w:tc>
          <w:tcPr>
            <w:tcW w:type="dxa" w:w="5256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Metric</w:t>
            </w:r>
          </w:p>
        </w:tc>
        <w:tc>
          <w:tcPr>
            <w:tcW w:type="dxa" w:w="5256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Projection</w:t>
            </w:r>
          </w:p>
        </w:tc>
      </w:tr>
      <w:tr>
        <w:tc>
          <w:tcPr>
            <w:tcW w:type="dxa" w:w="52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Year 3 Outlet Count</w:t>
            </w:r>
          </w:p>
        </w:tc>
        <w:tc>
          <w:tcPr>
            <w:tcW w:type="dxa" w:w="52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200–250 (Realistic Licensing)</w:t>
            </w:r>
          </w:p>
        </w:tc>
      </w:tr>
      <w:tr>
        <w:tc>
          <w:tcPr>
            <w:tcW w:type="dxa" w:w="5256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Year 3 EBITDA</w:t>
            </w:r>
          </w:p>
        </w:tc>
        <w:tc>
          <w:tcPr>
            <w:tcW w:type="dxa" w:w="5256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₹24–₹36 Crore</w:t>
            </w:r>
          </w:p>
        </w:tc>
      </w:tr>
      <w:tr>
        <w:tc>
          <w:tcPr>
            <w:tcW w:type="dxa" w:w="52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EBITDA Multiple</w:t>
            </w:r>
          </w:p>
        </w:tc>
        <w:tc>
          <w:tcPr>
            <w:tcW w:type="dxa" w:w="52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8.0x (Conservative)</w:t>
            </w:r>
          </w:p>
        </w:tc>
      </w:tr>
      <w:tr>
        <w:tc>
          <w:tcPr>
            <w:tcW w:type="dxa" w:w="5256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Enterprise Valuation</w:t>
            </w:r>
          </w:p>
        </w:tc>
        <w:tc>
          <w:tcPr>
            <w:tcW w:type="dxa" w:w="5256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₹192–₹288 Crore</w:t>
            </w:r>
          </w:p>
        </w:tc>
      </w:tr>
      <w:tr>
        <w:tc>
          <w:tcPr>
            <w:tcW w:type="dxa" w:w="52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Investor 25% Stake Value</w:t>
            </w:r>
          </w:p>
        </w:tc>
        <w:tc>
          <w:tcPr>
            <w:tcW w:type="dxa" w:w="52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₹48–₹72 Crore</w:t>
            </w:r>
          </w:p>
        </w:tc>
      </w:tr>
      <w:tr>
        <w:tc>
          <w:tcPr>
            <w:tcW w:type="dxa" w:w="5256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Investor ROI</w:t>
            </w:r>
          </w:p>
        </w:tc>
        <w:tc>
          <w:tcPr>
            <w:tcW w:type="dxa" w:w="5256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2.7x – 4.0x</w:t>
            </w:r>
          </w:p>
        </w:tc>
      </w:tr>
      <w:tr>
        <w:tc>
          <w:tcPr>
            <w:tcW w:type="dxa" w:w="52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IRR (Estimated)</w:t>
            </w:r>
          </w:p>
        </w:tc>
        <w:tc>
          <w:tcPr>
            <w:tcW w:type="dxa" w:w="52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45–60%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BF9F1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48"/>
              </w:rPr>
              <w:t>2.7x – 4.0x ROI</w:t>
              <w:br/>
            </w:r>
            <w:r>
              <w:rPr>
                <w:rFonts w:ascii="Segoe UI" w:hAnsi="Segoe UI"/>
                <w:color w:val="646464"/>
                <w:sz w:val="20"/>
              </w:rPr>
              <w:t>Projected Investor Return (36 Months)</w:t>
            </w:r>
          </w:p>
        </w:tc>
      </w:tr>
    </w:tbl>
    <w:p>
      <w:pPr>
        <w:spacing w:after="160"/>
      </w:pPr>
    </w:p>
    <w:p>
      <w:r>
        <w:br w:type="page"/>
      </w:r>
    </w:p>
    <w:p/>
    <w:p/>
    <w:p/>
    <w:p/>
    <w:p/>
    <w:p>
      <w:pPr>
        <w:jc w:val="center"/>
      </w:pPr>
      <w:r>
        <w:rPr>
          <w:rFonts w:ascii="Segoe UI Black" w:hAnsi="Segoe UI Black"/>
          <w:color w:val="111111"/>
          <w:sz w:val="64"/>
        </w:rPr>
        <w:t>JOIN THE HIVE.</w:t>
      </w:r>
    </w:p>
    <w:p>
      <w:pPr>
        <w:jc w:val="center"/>
      </w:pPr>
      <w:r>
        <w:rPr>
          <w:rFonts w:ascii="Georgia" w:hAnsi="Georgia"/>
          <w:i/>
          <w:color w:val="D4AF37"/>
          <w:sz w:val="32"/>
        </w:rPr>
        <w:t>Let's Redefine India's Premium Spirits Industry.</w:t>
      </w:r>
    </w:p>
    <w:p>
      <w:pPr>
        <w:spacing w:before="400"/>
        <w:jc w:val="center"/>
      </w:pPr>
      <w:r>
        <w:rPr>
          <w:color w:val="D4AF37"/>
        </w:rPr>
        <w:t>━━━━━━━━━━━━━━━━━━━━━━━</w:t>
      </w:r>
    </w:p>
    <w:p>
      <w:pPr>
        <w:spacing w:before="400"/>
        <w:jc w:val="center"/>
      </w:pPr>
      <w:r>
        <w:rPr>
          <w:rFonts w:ascii="Segoe UI" w:hAnsi="Segoe UI"/>
          <w:color w:val="787878"/>
          <w:sz w:val="20"/>
        </w:rPr>
        <w:t>FERABEE LIQUOR PRIVATE LIMITED</w:t>
        <w:br/>
        <w:t>Corporate Office: Goa &amp; Mumbai, India</w:t>
        <w:br/>
        <w:t>Email: invest@ferabee.com  |  Web: www.ferabee.com</w:t>
        <w:br/>
        <w:br/>
        <w:t>Confidential — For Authorized Investors Only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