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jc w:val="center"/>
      </w:pPr>
      <w:r>
        <w:rPr>
          <w:rFonts w:ascii="Segoe UI Black" w:hAnsi="Segoe UI Black"/>
          <w:color w:val="111111"/>
          <w:sz w:val="64"/>
        </w:rPr>
        <w:t>FERABEE LIQUOR PRIVATE LIMITED</w:t>
      </w:r>
    </w:p>
    <w:p>
      <w:pPr>
        <w:jc w:val="center"/>
      </w:pPr>
      <w:r>
        <w:rPr>
          <w:rFonts w:ascii="Georgia" w:hAnsi="Georgia"/>
          <w:i/>
          <w:color w:val="D4AF37"/>
          <w:sz w:val="36"/>
        </w:rPr>
        <w:t>T H E   R O Y A L   B E E</w:t>
      </w:r>
    </w:p>
    <w:p>
      <w:pPr>
        <w:spacing w:before="320" w:after="320"/>
        <w:jc w:val="center"/>
      </w:pPr>
      <w:r>
        <w:rPr>
          <w:color w:val="D4AF37"/>
          <w:sz w:val="28"/>
        </w:rPr>
        <w:t>━━━━━━━━━━━━━━━━━━━━━━━━━━━━━━</w:t>
      </w:r>
    </w:p>
    <w:p>
      <w:pPr>
        <w:jc w:val="center"/>
      </w:pPr>
      <w:r>
        <w:rPr>
          <w:rFonts w:ascii="Segoe UI" w:hAnsi="Segoe UI"/>
          <w:color w:val="646464"/>
          <w:sz w:val="22"/>
        </w:rPr>
        <w:t>COMPREHENSIVE PROJECT REPORT</w:t>
        <w:br/>
        <w:t>360° STRATEGIC ANALYSIS &amp; REVISED BUSINESS MODEL</w:t>
        <w:br/>
        <w:br/>
        <w:t>CONFIDENTIAL — FOR AUTHORIZED STAKEHOLDERS ONLY</w:t>
      </w:r>
    </w:p>
    <w:p>
      <w:pPr>
        <w:spacing w:before="40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ferabee_whisky_1786630225417.png"/>
                    <pic:cNvPicPr/>
                  </pic:nvPicPr>
                  <pic:blipFill>
                    <a:blip r:embed="rId9"/>
                    <a:stretch>
                      <a:fillRect/>
                    </a:stretch>
                  </pic:blipFill>
                  <pic:spPr>
                    <a:xfrm>
                      <a:off x="0" y="0"/>
                      <a:ext cx="2926080" cy="2926080"/>
                    </a:xfrm>
                    <a:prstGeom prst="rect"/>
                  </pic:spPr>
                </pic:pic>
              </a:graphicData>
            </a:graphic>
          </wp:inline>
        </w:drawing>
      </w:r>
    </w:p>
    <w:p>
      <w:pPr>
        <w:spacing w:after="200"/>
      </w:pPr>
    </w:p>
    <w:p>
      <w:pPr>
        <w:spacing w:after="200"/>
      </w:pPr>
    </w:p>
    <w:p>
      <w:pPr>
        <w:spacing w:after="200"/>
      </w:pPr>
    </w:p>
    <w:p>
      <w:pPr>
        <w:jc w:val="center"/>
      </w:pPr>
      <w:r>
        <w:rPr>
          <w:rFonts w:ascii="Segoe UI" w:hAnsi="Segoe UI"/>
          <w:color w:val="969696"/>
          <w:sz w:val="18"/>
        </w:rPr>
        <w:t>Document Version 2.0  |  Revised &amp; Corrected  |  August 2026</w:t>
        <w:br/>
        <w:t>Prepared by: Strategic Advisory Division</w:t>
      </w:r>
    </w:p>
    <w:p>
      <w:r>
        <w:br w:type="page"/>
      </w:r>
    </w:p>
    <w:tbl>
      <w:tblPr>
        <w:tblW w:type="auto" w:w="0"/>
        <w:jc w:val="center"/>
        <w:tblLook w:firstColumn="1" w:firstRow="1" w:lastColumn="0" w:lastRow="0" w:noHBand="0" w:noVBand="1" w:val="04A0"/>
      </w:tblPr>
      <w:tblGrid>
        <w:gridCol w:w="10080"/>
      </w:tblGrid>
      <w:tr>
        <w:tc>
          <w:tcPr>
            <w:tcW w:type="dxa" w:w="10080"/>
            <w:shd w:fill="D4AF37"/>
            <w:tcMar>
              <w:top w:w="250" w:type="dxa"/>
              <w:bottom w:w="250" w:type="dxa"/>
              <w:left w:w="300" w:type="dxa"/>
              <w:right w:w="300" w:type="dxa"/>
            </w:tcMar>
          </w:tcPr>
          <w:p>
            <w:pPr>
              <w:jc w:val="center"/>
            </w:pPr>
            <w:r>
              <w:rPr>
                <w:rFonts w:ascii="Segoe UI Black" w:hAnsi="Segoe UI Black"/>
                <w:color w:val="111111"/>
                <w:sz w:val="36"/>
              </w:rPr>
              <w:t>TABLE OF CONTENTS</w:t>
            </w:r>
          </w:p>
        </w:tc>
      </w:tr>
    </w:tbl>
    <w:p>
      <w:pPr>
        <w:spacing w:after="200"/>
      </w:pPr>
    </w:p>
    <w:p>
      <w:pPr>
        <w:spacing w:after="100"/>
        <w:ind w:left="432"/>
      </w:pPr>
      <w:r>
        <w:rPr>
          <w:rFonts w:ascii="Segoe UI" w:hAnsi="Segoe UI"/>
          <w:b/>
          <w:color w:val="0A1628"/>
          <w:sz w:val="22"/>
        </w:rPr>
        <w:t>§1  Executive Summary &amp; Strategic Vision</w:t>
      </w:r>
    </w:p>
    <w:p>
      <w:pPr>
        <w:spacing w:after="100"/>
        <w:ind w:left="432"/>
      </w:pPr>
      <w:r>
        <w:rPr>
          <w:rFonts w:ascii="Segoe UI" w:hAnsi="Segoe UI"/>
          <w:b/>
          <w:color w:val="0A1628"/>
          <w:sz w:val="22"/>
        </w:rPr>
        <w:t>§2  Corporate Structure &amp; Capitalization Assessment</w:t>
      </w:r>
    </w:p>
    <w:p>
      <w:pPr>
        <w:spacing w:after="100"/>
        <w:ind w:left="432"/>
      </w:pPr>
      <w:r>
        <w:rPr>
          <w:rFonts w:ascii="Segoe UI" w:hAnsi="Segoe UI"/>
          <w:b/>
          <w:color w:val="0A1628"/>
          <w:sz w:val="22"/>
        </w:rPr>
        <w:t>§3  Regulatory Framework &amp; Inter-State Excise Dynamics</w:t>
      </w:r>
    </w:p>
    <w:p>
      <w:pPr>
        <w:spacing w:after="100"/>
        <w:ind w:left="432"/>
      </w:pPr>
      <w:r>
        <w:rPr>
          <w:rFonts w:ascii="Segoe UI" w:hAnsi="Segoe UI"/>
          <w:b/>
          <w:color w:val="0A1628"/>
          <w:sz w:val="22"/>
        </w:rPr>
        <w:t>§4  Product Portfolio Strategy &amp; Margin Analysis</w:t>
      </w:r>
    </w:p>
    <w:p>
      <w:pPr>
        <w:spacing w:after="100"/>
        <w:ind w:left="432"/>
      </w:pPr>
      <w:r>
        <w:rPr>
          <w:rFonts w:ascii="Segoe UI" w:hAnsi="Segoe UI"/>
          <w:b/>
          <w:color w:val="0A1628"/>
          <w:sz w:val="22"/>
        </w:rPr>
        <w:t>§5  The Lounge Experience &amp; Legal Compliance Architecture</w:t>
      </w:r>
    </w:p>
    <w:p>
      <w:pPr>
        <w:spacing w:after="100"/>
        <w:ind w:left="432"/>
      </w:pPr>
      <w:r>
        <w:rPr>
          <w:rFonts w:ascii="Segoe UI" w:hAnsi="Segoe UI"/>
          <w:b/>
          <w:color w:val="0A1628"/>
          <w:sz w:val="22"/>
        </w:rPr>
        <w:t>§6  Revised Unit Economics &amp; Financial Projections</w:t>
      </w:r>
    </w:p>
    <w:p>
      <w:pPr>
        <w:spacing w:after="100"/>
        <w:ind w:left="432"/>
      </w:pPr>
      <w:r>
        <w:rPr>
          <w:rFonts w:ascii="Segoe UI" w:hAnsi="Segoe UI"/>
          <w:b/>
          <w:color w:val="0A1628"/>
          <w:sz w:val="22"/>
        </w:rPr>
        <w:t>§7  Franchise Model Pivot: COFO → FOCO</w:t>
      </w:r>
    </w:p>
    <w:p>
      <w:pPr>
        <w:spacing w:after="100"/>
        <w:ind w:left="432"/>
      </w:pPr>
      <w:r>
        <w:rPr>
          <w:rFonts w:ascii="Segoe UI" w:hAnsi="Segoe UI"/>
          <w:b/>
          <w:color w:val="0A1628"/>
          <w:sz w:val="22"/>
        </w:rPr>
        <w:t>§8  Strategic Reorientation &amp; Recommendations</w:t>
      </w:r>
    </w:p>
    <w:p>
      <w:pPr>
        <w:spacing w:after="100"/>
        <w:ind w:left="432"/>
      </w:pPr>
      <w:r>
        <w:rPr>
          <w:rFonts w:ascii="Segoe UI" w:hAnsi="Segoe UI"/>
          <w:b/>
          <w:color w:val="0A1628"/>
          <w:sz w:val="22"/>
        </w:rPr>
        <w:t>§9  Phased Geographic Rollout Plan</w:t>
      </w:r>
    </w:p>
    <w:p>
      <w:pPr>
        <w:spacing w:after="100"/>
        <w:ind w:left="432"/>
      </w:pPr>
      <w:r>
        <w:rPr>
          <w:rFonts w:ascii="Segoe UI" w:hAnsi="Segoe UI"/>
          <w:b/>
          <w:color w:val="0A1628"/>
          <w:sz w:val="22"/>
        </w:rPr>
        <w:t>§10 Risk Matrix &amp; Mitigation Framework</w:t>
      </w:r>
    </w:p>
    <w:p>
      <w:pPr>
        <w:spacing w:after="100"/>
        <w:ind w:left="432"/>
      </w:pPr>
      <w:r>
        <w:rPr>
          <w:rFonts w:ascii="Segoe UI" w:hAnsi="Segoe UI"/>
          <w:b/>
          <w:color w:val="0A1628"/>
          <w:sz w:val="22"/>
        </w:rPr>
        <w:t>§11 Valuation, Exit Strategy &amp; Market Benchmarking</w:t>
      </w:r>
    </w:p>
    <w:p>
      <w:pPr>
        <w:spacing w:after="100"/>
        <w:ind w:left="432"/>
      </w:pPr>
      <w:r>
        <w:rPr>
          <w:rFonts w:ascii="Segoe UI" w:hAnsi="Segoe UI"/>
          <w:color w:val="646464"/>
          <w:sz w:val="22"/>
        </w:rPr>
        <w:t xml:space="preserve">    Appendix A: Charts &amp; Financial Exhibits</w:t>
      </w:r>
    </w:p>
    <w:p>
      <w:pPr>
        <w:spacing w:after="100"/>
        <w:ind w:left="432"/>
      </w:pPr>
      <w:r>
        <w:rPr>
          <w:rFonts w:ascii="Segoe UI" w:hAnsi="Segoe UI"/>
          <w:color w:val="646464"/>
          <w:sz w:val="22"/>
        </w:rPr>
        <w:t xml:space="preserve">    Appendix B: Legal Disclaimers</w:t>
      </w:r>
    </w:p>
    <w:p>
      <w:r>
        <w:br w:type="page"/>
      </w:r>
    </w:p>
    <w:tbl>
      <w:tblPr>
        <w:tblW w:type="auto" w:w="0"/>
        <w:jc w:val="center"/>
        <w:tblLook w:firstColumn="1" w:firstRow="1" w:lastColumn="0" w:lastRow="0" w:noHBand="0" w:noVBand="1" w:val="04A0"/>
      </w:tblPr>
      <w:tblGrid>
        <w:gridCol w:w="10080"/>
      </w:tblGrid>
      <w:tr>
        <w:tc>
          <w:tcPr>
            <w:tcW w:type="dxa" w:w="10080"/>
            <w:shd w:fill="0A1628"/>
            <w:tcMar>
              <w:top w:w="250" w:type="dxa"/>
              <w:bottom w:w="250" w:type="dxa"/>
              <w:left w:w="300" w:type="dxa"/>
              <w:right w:w="300" w:type="dxa"/>
            </w:tcMar>
          </w:tcPr>
          <w:p>
            <w:pPr>
              <w:jc w:val="center"/>
            </w:pPr>
            <w:r>
              <w:rPr>
                <w:rFonts w:ascii="Segoe UI Black" w:hAnsi="Segoe UI Black"/>
                <w:color w:val="D4AF37"/>
                <w:sz w:val="36"/>
              </w:rPr>
              <w:t>EXECUTIVE SUMMARY</w:t>
            </w:r>
          </w:p>
        </w:tc>
      </w:tr>
    </w:tbl>
    <w:p>
      <w:pPr>
        <w:spacing w:after="200"/>
      </w:pPr>
    </w:p>
    <w:p>
      <w:pPr>
        <w:spacing w:after="160" w:line="300" w:lineRule="auto"/>
      </w:pPr>
      <w:r>
        <w:rPr>
          <w:rFonts w:ascii="Georgia" w:hAnsi="Georgia"/>
          <w:color w:val="3C3C3C"/>
          <w:sz w:val="21"/>
        </w:rPr>
        <w:t>FeraBee Liquor Private Limited proposes a vertically integrated premium spirits manufacturing and captive hospitality distribution enterprise. The company plans to pair a proprietary six-to-eight product alcoholic beverage portfolio with a national rollout of 367 high-capacity 'FeraBee Bee Lounges' across Maharashtra (355 Talukas) and Goa (12 Talukas).</w:t>
      </w:r>
    </w:p>
    <w:tbl>
      <w:tblPr>
        <w:tblW w:type="auto" w:w="0"/>
        <w:jc w:val="center"/>
        <w:tblLook w:firstColumn="1" w:firstRow="1" w:lastColumn="0" w:lastRow="0" w:noHBand="0" w:noVBand="1" w:val="04A0"/>
      </w:tblPr>
      <w:tblGrid>
        <w:gridCol w:w="10080"/>
      </w:tblGrid>
      <w:tr>
        <w:tc>
          <w:tcPr>
            <w:tcW w:type="dxa" w:w="10080"/>
            <w:shd w:fill="FBF9F1"/>
            <w:tcMar>
              <w:top w:w="180" w:type="dxa"/>
              <w:bottom w:w="180" w:type="dxa"/>
              <w:left w:w="250" w:type="dxa"/>
              <w:right w:w="250" w:type="dxa"/>
            </w:tcMar>
            <w:tcBorders>
              <w:left w:val="single" w:sz="36" w:space="0" w:color="D4AF37"/>
              <w:top w:val="none"/>
              <w:right w:val="none"/>
              <w:bottom w:val="none"/>
            </w:tcBorders>
          </w:tcPr>
          <w:p>
            <w:r>
              <w:rPr>
                <w:rFonts w:ascii="Segoe UI Semibold" w:hAnsi="Segoe UI Semibold"/>
                <w:color w:val="B8860B"/>
                <w:sz w:val="22"/>
              </w:rPr>
              <w:t>✦ THE VISION</w:t>
              <w:br/>
            </w:r>
            <w:r>
              <w:rPr>
                <w:rFonts w:ascii="Georgia" w:hAnsi="Georgia"/>
                <w:color w:val="222222"/>
                <w:sz w:val="21"/>
              </w:rPr>
              <w:t>Pairing proprietary premium spirits with a captive, experiential distribution network—eliminating middlemen, bypassing traditional wine shop dependency, and delivering extreme consumer value through curated beverage experiences.</w:t>
            </w:r>
          </w:p>
        </w:tc>
      </w:tr>
    </w:tbl>
    <w:p>
      <w:pPr>
        <w:spacing w:after="160"/>
      </w:pPr>
    </w:p>
    <w:p>
      <w:pPr>
        <w:spacing w:after="160" w:line="300" w:lineRule="auto"/>
      </w:pPr>
      <w:r>
        <w:rPr>
          <w:rFonts w:ascii="Georgia" w:hAnsi="Georgia"/>
          <w:color w:val="3C3C3C"/>
          <w:sz w:val="21"/>
        </w:rPr>
        <w:t>However, a rigorous 360-degree evaluation reveals profound structural vulnerabilities in the original model. This revised report deconstructs the original business plan, identifies critical legal, financial, and operational risks, and presents a strategically recalibrated execution framework that transforms the theoretical concept into a compliant, investable enterprise.</w:t>
      </w:r>
    </w:p>
    <w:tbl>
      <w:tblPr>
        <w:tblW w:type="auto" w:w="0"/>
        <w:jc w:val="center"/>
        <w:tblLook w:firstColumn="1" w:firstRow="1" w:lastColumn="0" w:lastRow="0" w:noHBand="0" w:noVBand="1" w:val="04A0"/>
      </w:tblPr>
      <w:tblGrid>
        <w:gridCol w:w="10080"/>
      </w:tblGrid>
      <w:tr>
        <w:tc>
          <w:tcPr>
            <w:tcW w:type="dxa" w:w="10080"/>
            <w:shd w:fill="FFF5F5"/>
            <w:tcMar>
              <w:top w:w="180" w:type="dxa"/>
              <w:bottom w:w="180" w:type="dxa"/>
              <w:left w:w="250" w:type="dxa"/>
              <w:right w:w="250" w:type="dxa"/>
            </w:tcMar>
            <w:tcBorders>
              <w:left w:val="single" w:sz="36" w:space="0" w:color="C0392B"/>
              <w:top w:val="none"/>
              <w:right w:val="none"/>
              <w:bottom w:val="none"/>
            </w:tcBorders>
          </w:tcPr>
          <w:p>
            <w:r>
              <w:rPr>
                <w:rFonts w:ascii="Segoe UI Semibold" w:hAnsi="Segoe UI Semibold"/>
                <w:color w:val="B8860B"/>
                <w:sz w:val="22"/>
              </w:rPr>
              <w:t>✦ CRITICAL FINDING</w:t>
              <w:br/>
            </w:r>
            <w:r>
              <w:rPr>
                <w:rFonts w:ascii="Georgia" w:hAnsi="Georgia"/>
                <w:color w:val="222222"/>
                <w:sz w:val="21"/>
              </w:rPr>
              <w:t>The original ₹22.0 Crore capitalization is sufficient for fewer than 30 outlets under the COFO model—completely invalidating the 367-outlet expansion premise. A structural pivot to FOCO (Franchise Owned Company Operated) is mandatory.</w:t>
            </w:r>
          </w:p>
        </w:tc>
      </w:tr>
    </w:tbl>
    <w:p>
      <w:pPr>
        <w:spacing w:after="160"/>
      </w:pPr>
    </w:p>
    <w:p>
      <w:pPr>
        <w:jc w:val="center"/>
      </w:pPr>
      <w:r>
        <w:drawing>
          <wp:inline xmlns:a="http://schemas.openxmlformats.org/drawingml/2006/main" xmlns:pic="http://schemas.openxmlformats.org/drawingml/2006/picture">
            <wp:extent cx="5029200" cy="3241497"/>
            <wp:docPr id="2" name="Picture 2"/>
            <wp:cNvGraphicFramePr>
              <a:graphicFrameLocks noChangeAspect="1"/>
            </wp:cNvGraphicFramePr>
            <a:graphic>
              <a:graphicData uri="http://schemas.openxmlformats.org/drawingml/2006/picture">
                <pic:pic>
                  <pic:nvPicPr>
                    <pic:cNvPr id="0" name="line_market.png"/>
                    <pic:cNvPicPr/>
                  </pic:nvPicPr>
                  <pic:blipFill>
                    <a:blip r:embed="rId10"/>
                    <a:stretch>
                      <a:fillRect/>
                    </a:stretch>
                  </pic:blipFill>
                  <pic:spPr>
                    <a:xfrm>
                      <a:off x="0" y="0"/>
                      <a:ext cx="5029200" cy="3241497"/>
                    </a:xfrm>
                    <a:prstGeom prst="rect"/>
                  </pic:spPr>
                </pic:pic>
              </a:graphicData>
            </a:graphic>
          </wp:inline>
        </w:drawing>
      </w:r>
    </w:p>
    <w:p>
      <w:pPr>
        <w:jc w:val="center"/>
      </w:pPr>
      <w:r>
        <w:rPr>
          <w:rFonts w:ascii="Georgia" w:hAnsi="Georgia"/>
          <w:i/>
          <w:color w:val="808080"/>
          <w:sz w:val="18"/>
        </w:rPr>
        <w:t>Fig. 1: Indian Alcobev Market Growth &amp; Premium Segment Acceleration</w:t>
      </w:r>
    </w:p>
    <w:p>
      <w:pPr>
        <w:spacing w:after="160"/>
      </w:pPr>
    </w:p>
    <w:p>
      <w:r>
        <w:br w:type="page"/>
      </w:r>
    </w:p>
    <w:p>
      <w:pPr>
        <w:spacing w:before="400" w:after="120"/>
      </w:pPr>
      <w:r>
        <w:rPr>
          <w:rFonts w:ascii="Georgia" w:hAnsi="Georgia"/>
          <w:b/>
          <w:color w:val="D4AF37"/>
          <w:sz w:val="30"/>
        </w:rPr>
        <w:t xml:space="preserve">§2  </w:t>
      </w:r>
      <w:r>
        <w:rPr>
          <w:rFonts w:ascii="Segoe UI" w:hAnsi="Segoe UI"/>
          <w:b/>
          <w:color w:val="111111"/>
          <w:sz w:val="30"/>
        </w:rPr>
        <w:t>CORPORATE STRUCTURE &amp; CAPITALIZATION ASSESSMENT</w:t>
      </w:r>
    </w:p>
    <w:p>
      <w:pPr>
        <w:spacing w:after="160" w:line="300" w:lineRule="auto"/>
      </w:pPr>
      <w:r>
        <w:rPr>
          <w:rFonts w:ascii="Georgia" w:hAnsi="Georgia"/>
          <w:color w:val="3C3C3C"/>
          <w:sz w:val="21"/>
        </w:rPr>
        <w:t>The corporate architecture relies on a standard private limited framework with ₹10.0 Crore authorized capital and ₹50.0 Lakh paid-up capital, apportioned through a 51:49 promoter shareholding split.</w:t>
      </w: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5040"/>
        <w:gridCol w:w="5040"/>
      </w:tblGrid>
      <w:tr>
        <w:tc>
          <w:tcPr>
            <w:tcW w:type="dxa" w:w="5040"/>
            <w:shd w:fill="0A1628"/>
            <w:tcMar>
              <w:top w:w="100" w:type="dxa"/>
              <w:bottom w:w="100" w:type="dxa"/>
              <w:left w:w="130" w:type="dxa"/>
              <w:right w:w="130" w:type="dxa"/>
            </w:tcMar>
          </w:tcPr>
          <w:p>
            <w:r>
              <w:rPr>
                <w:rFonts w:ascii="Segoe UI" w:hAnsi="Segoe UI"/>
                <w:b/>
                <w:color w:val="FFD700"/>
                <w:sz w:val="20"/>
              </w:rPr>
              <w:t>Parameter</w:t>
            </w:r>
          </w:p>
        </w:tc>
        <w:tc>
          <w:tcPr>
            <w:tcW w:type="dxa" w:w="5040"/>
            <w:shd w:fill="0A1628"/>
            <w:tcMar>
              <w:top w:w="100" w:type="dxa"/>
              <w:bottom w:w="100" w:type="dxa"/>
              <w:left w:w="130" w:type="dxa"/>
              <w:right w:w="130" w:type="dxa"/>
            </w:tcMar>
          </w:tcPr>
          <w:p>
            <w:r>
              <w:rPr>
                <w:rFonts w:ascii="Segoe UI" w:hAnsi="Segoe UI"/>
                <w:b/>
                <w:color w:val="FFD700"/>
                <w:sz w:val="20"/>
              </w:rPr>
              <w:t>Details</w:t>
            </w:r>
          </w:p>
        </w:tc>
      </w:tr>
      <w:tr>
        <w:tc>
          <w:tcPr>
            <w:tcW w:type="dxa" w:w="5040"/>
            <w:shd w:fill="FFFFFF"/>
            <w:tcMar>
              <w:top w:w="80" w:type="dxa"/>
              <w:bottom w:w="80" w:type="dxa"/>
              <w:left w:w="130" w:type="dxa"/>
              <w:right w:w="130" w:type="dxa"/>
            </w:tcMar>
          </w:tcPr>
          <w:p>
            <w:r>
              <w:rPr>
                <w:rFonts w:ascii="Segoe UI" w:hAnsi="Segoe UI"/>
                <w:color w:val="333333"/>
                <w:sz w:val="20"/>
              </w:rPr>
              <w:t>Legal Entity</w:t>
            </w:r>
          </w:p>
        </w:tc>
        <w:tc>
          <w:tcPr>
            <w:tcW w:type="dxa" w:w="5040"/>
            <w:shd w:fill="FFFFFF"/>
            <w:tcMar>
              <w:top w:w="80" w:type="dxa"/>
              <w:bottom w:w="80" w:type="dxa"/>
              <w:left w:w="130" w:type="dxa"/>
              <w:right w:w="130" w:type="dxa"/>
            </w:tcMar>
          </w:tcPr>
          <w:p>
            <w:r>
              <w:rPr>
                <w:rFonts w:ascii="Segoe UI" w:hAnsi="Segoe UI"/>
                <w:color w:val="333333"/>
                <w:sz w:val="20"/>
              </w:rPr>
              <w:t>FeraBee Liquor Private Limited</w:t>
            </w:r>
          </w:p>
        </w:tc>
      </w:tr>
      <w:tr>
        <w:tc>
          <w:tcPr>
            <w:tcW w:type="dxa" w:w="5040"/>
            <w:shd w:fill="F0F4F8"/>
            <w:tcMar>
              <w:top w:w="80" w:type="dxa"/>
              <w:bottom w:w="80" w:type="dxa"/>
              <w:left w:w="130" w:type="dxa"/>
              <w:right w:w="130" w:type="dxa"/>
            </w:tcMar>
          </w:tcPr>
          <w:p>
            <w:r>
              <w:rPr>
                <w:rFonts w:ascii="Segoe UI" w:hAnsi="Segoe UI"/>
                <w:color w:val="333333"/>
                <w:sz w:val="20"/>
              </w:rPr>
              <w:t>Authorised Capital</w:t>
            </w:r>
          </w:p>
        </w:tc>
        <w:tc>
          <w:tcPr>
            <w:tcW w:type="dxa" w:w="5040"/>
            <w:shd w:fill="F0F4F8"/>
            <w:tcMar>
              <w:top w:w="80" w:type="dxa"/>
              <w:bottom w:w="80" w:type="dxa"/>
              <w:left w:w="130" w:type="dxa"/>
              <w:right w:w="130" w:type="dxa"/>
            </w:tcMar>
          </w:tcPr>
          <w:p>
            <w:r>
              <w:rPr>
                <w:rFonts w:ascii="Segoe UI" w:hAnsi="Segoe UI"/>
                <w:color w:val="333333"/>
                <w:sz w:val="20"/>
              </w:rPr>
              <w:t>₹10,00,00,000 (₹10 Crore)</w:t>
            </w:r>
          </w:p>
        </w:tc>
      </w:tr>
      <w:tr>
        <w:tc>
          <w:tcPr>
            <w:tcW w:type="dxa" w:w="5040"/>
            <w:shd w:fill="FFFFFF"/>
            <w:tcMar>
              <w:top w:w="80" w:type="dxa"/>
              <w:bottom w:w="80" w:type="dxa"/>
              <w:left w:w="130" w:type="dxa"/>
              <w:right w:w="130" w:type="dxa"/>
            </w:tcMar>
          </w:tcPr>
          <w:p>
            <w:r>
              <w:rPr>
                <w:rFonts w:ascii="Segoe UI" w:hAnsi="Segoe UI"/>
                <w:color w:val="333333"/>
                <w:sz w:val="20"/>
              </w:rPr>
              <w:t>Paid-Up Capital</w:t>
            </w:r>
          </w:p>
        </w:tc>
        <w:tc>
          <w:tcPr>
            <w:tcW w:type="dxa" w:w="5040"/>
            <w:shd w:fill="FFFFFF"/>
            <w:tcMar>
              <w:top w:w="80" w:type="dxa"/>
              <w:bottom w:w="80" w:type="dxa"/>
              <w:left w:w="130" w:type="dxa"/>
              <w:right w:w="130" w:type="dxa"/>
            </w:tcMar>
          </w:tcPr>
          <w:p>
            <w:r>
              <w:rPr>
                <w:rFonts w:ascii="Segoe UI" w:hAnsi="Segoe UI"/>
                <w:color w:val="333333"/>
                <w:sz w:val="20"/>
              </w:rPr>
              <w:t>₹50,00,000 (₹50 Lakh)</w:t>
            </w:r>
          </w:p>
        </w:tc>
      </w:tr>
      <w:tr>
        <w:tc>
          <w:tcPr>
            <w:tcW w:type="dxa" w:w="5040"/>
            <w:shd w:fill="F0F4F8"/>
            <w:tcMar>
              <w:top w:w="80" w:type="dxa"/>
              <w:bottom w:w="80" w:type="dxa"/>
              <w:left w:w="130" w:type="dxa"/>
              <w:right w:w="130" w:type="dxa"/>
            </w:tcMar>
          </w:tcPr>
          <w:p>
            <w:r>
              <w:rPr>
                <w:rFonts w:ascii="Segoe UI" w:hAnsi="Segoe UI"/>
                <w:color w:val="333333"/>
                <w:sz w:val="20"/>
              </w:rPr>
              <w:t>Promoter Split</w:t>
            </w:r>
          </w:p>
        </w:tc>
        <w:tc>
          <w:tcPr>
            <w:tcW w:type="dxa" w:w="5040"/>
            <w:shd w:fill="F0F4F8"/>
            <w:tcMar>
              <w:top w:w="80" w:type="dxa"/>
              <w:bottom w:w="80" w:type="dxa"/>
              <w:left w:w="130" w:type="dxa"/>
              <w:right w:w="130" w:type="dxa"/>
            </w:tcMar>
          </w:tcPr>
          <w:p>
            <w:r>
              <w:rPr>
                <w:rFonts w:ascii="Segoe UI" w:hAnsi="Segoe UI"/>
                <w:color w:val="333333"/>
                <w:sz w:val="20"/>
              </w:rPr>
              <w:t>51% : 49%</w:t>
            </w:r>
          </w:p>
        </w:tc>
      </w:tr>
      <w:tr>
        <w:tc>
          <w:tcPr>
            <w:tcW w:type="dxa" w:w="5040"/>
            <w:shd w:fill="FFFFFF"/>
            <w:tcMar>
              <w:top w:w="80" w:type="dxa"/>
              <w:bottom w:w="80" w:type="dxa"/>
              <w:left w:w="130" w:type="dxa"/>
              <w:right w:w="130" w:type="dxa"/>
            </w:tcMar>
          </w:tcPr>
          <w:p>
            <w:r>
              <w:rPr>
                <w:rFonts w:ascii="Segoe UI" w:hAnsi="Segoe UI"/>
                <w:color w:val="333333"/>
                <w:sz w:val="20"/>
              </w:rPr>
              <w:t>Brand Identity</w:t>
            </w:r>
          </w:p>
        </w:tc>
        <w:tc>
          <w:tcPr>
            <w:tcW w:type="dxa" w:w="5040"/>
            <w:shd w:fill="FFFFFF"/>
            <w:tcMar>
              <w:top w:w="80" w:type="dxa"/>
              <w:bottom w:w="80" w:type="dxa"/>
              <w:left w:w="130" w:type="dxa"/>
              <w:right w:w="130" w:type="dxa"/>
            </w:tcMar>
          </w:tcPr>
          <w:p>
            <w:r>
              <w:rPr>
                <w:rFonts w:ascii="Segoe UI" w:hAnsi="Segoe UI"/>
                <w:color w:val="333333"/>
                <w:sz w:val="20"/>
              </w:rPr>
              <w:t>The Royal Bee — Gold on Black</w:t>
            </w:r>
          </w:p>
        </w:tc>
      </w:tr>
      <w:tr>
        <w:tc>
          <w:tcPr>
            <w:tcW w:type="dxa" w:w="5040"/>
            <w:shd w:fill="F0F4F8"/>
            <w:tcMar>
              <w:top w:w="80" w:type="dxa"/>
              <w:bottom w:w="80" w:type="dxa"/>
              <w:left w:w="130" w:type="dxa"/>
              <w:right w:w="130" w:type="dxa"/>
            </w:tcMar>
          </w:tcPr>
          <w:p>
            <w:r>
              <w:rPr>
                <w:rFonts w:ascii="Segoe UI" w:hAnsi="Segoe UI"/>
                <w:color w:val="333333"/>
                <w:sz w:val="20"/>
              </w:rPr>
              <w:t>Total Cap Raise Target</w:t>
            </w:r>
          </w:p>
        </w:tc>
        <w:tc>
          <w:tcPr>
            <w:tcW w:type="dxa" w:w="5040"/>
            <w:shd w:fill="F0F4F8"/>
            <w:tcMar>
              <w:top w:w="80" w:type="dxa"/>
              <w:bottom w:w="80" w:type="dxa"/>
              <w:left w:w="130" w:type="dxa"/>
              <w:right w:w="130" w:type="dxa"/>
            </w:tcMar>
          </w:tcPr>
          <w:p>
            <w:r>
              <w:rPr>
                <w:rFonts w:ascii="Segoe UI" w:hAnsi="Segoe UI"/>
                <w:color w:val="333333"/>
                <w:sz w:val="20"/>
              </w:rPr>
              <w:t>₹22.0 Crore</w:t>
            </w:r>
          </w:p>
        </w:tc>
      </w:tr>
      <w:tr>
        <w:tc>
          <w:tcPr>
            <w:tcW w:type="dxa" w:w="5040"/>
            <w:shd w:fill="FFFFFF"/>
            <w:tcMar>
              <w:top w:w="80" w:type="dxa"/>
              <w:bottom w:w="80" w:type="dxa"/>
              <w:left w:w="130" w:type="dxa"/>
              <w:right w:w="130" w:type="dxa"/>
            </w:tcMar>
          </w:tcPr>
          <w:p>
            <w:r>
              <w:rPr>
                <w:rFonts w:ascii="Segoe UI" w:hAnsi="Segoe UI"/>
                <w:color w:val="333333"/>
                <w:sz w:val="20"/>
              </w:rPr>
              <w:t>External Equity (25% stake)</w:t>
            </w:r>
          </w:p>
        </w:tc>
        <w:tc>
          <w:tcPr>
            <w:tcW w:type="dxa" w:w="5040"/>
            <w:shd w:fill="FFFFFF"/>
            <w:tcMar>
              <w:top w:w="80" w:type="dxa"/>
              <w:bottom w:w="80" w:type="dxa"/>
              <w:left w:w="130" w:type="dxa"/>
              <w:right w:w="130" w:type="dxa"/>
            </w:tcMar>
          </w:tcPr>
          <w:p>
            <w:r>
              <w:rPr>
                <w:rFonts w:ascii="Segoe UI" w:hAnsi="Segoe UI"/>
                <w:color w:val="333333"/>
                <w:sz w:val="20"/>
              </w:rPr>
              <w:t>₹18.0 Crore</w:t>
            </w:r>
          </w:p>
        </w:tc>
      </w:tr>
      <w:tr>
        <w:tc>
          <w:tcPr>
            <w:tcW w:type="dxa" w:w="5040"/>
            <w:shd w:fill="F0F4F8"/>
            <w:tcMar>
              <w:top w:w="80" w:type="dxa"/>
              <w:bottom w:w="80" w:type="dxa"/>
              <w:left w:w="130" w:type="dxa"/>
              <w:right w:w="130" w:type="dxa"/>
            </w:tcMar>
          </w:tcPr>
          <w:p>
            <w:r>
              <w:rPr>
                <w:rFonts w:ascii="Segoe UI" w:hAnsi="Segoe UI"/>
                <w:color w:val="333333"/>
                <w:sz w:val="20"/>
              </w:rPr>
              <w:t>Bank CC Facility</w:t>
            </w:r>
          </w:p>
        </w:tc>
        <w:tc>
          <w:tcPr>
            <w:tcW w:type="dxa" w:w="5040"/>
            <w:shd w:fill="F0F4F8"/>
            <w:tcMar>
              <w:top w:w="80" w:type="dxa"/>
              <w:bottom w:w="80" w:type="dxa"/>
              <w:left w:w="130" w:type="dxa"/>
              <w:right w:w="130" w:type="dxa"/>
            </w:tcMar>
          </w:tcPr>
          <w:p>
            <w:r>
              <w:rPr>
                <w:rFonts w:ascii="Segoe UI" w:hAnsi="Segoe UI"/>
                <w:color w:val="333333"/>
                <w:sz w:val="20"/>
              </w:rPr>
              <w:t>₹3.5 Crore</w:t>
            </w:r>
          </w:p>
        </w:tc>
      </w:tr>
    </w:tbl>
    <w:p>
      <w:pPr>
        <w:spacing w:after="200"/>
      </w:pPr>
    </w:p>
    <w:p>
      <w:pPr>
        <w:jc w:val="center"/>
      </w:pPr>
      <w:r>
        <w:drawing>
          <wp:inline xmlns:a="http://schemas.openxmlformats.org/drawingml/2006/main" xmlns:pic="http://schemas.openxmlformats.org/drawingml/2006/picture">
            <wp:extent cx="5029200" cy="3830562"/>
            <wp:docPr id="3" name="Picture 3"/>
            <wp:cNvGraphicFramePr>
              <a:graphicFrameLocks noChangeAspect="1"/>
            </wp:cNvGraphicFramePr>
            <a:graphic>
              <a:graphicData uri="http://schemas.openxmlformats.org/drawingml/2006/picture">
                <pic:pic>
                  <pic:nvPicPr>
                    <pic:cNvPr id="0" name="pie_cap_table.png"/>
                    <pic:cNvPicPr/>
                  </pic:nvPicPr>
                  <pic:blipFill>
                    <a:blip r:embed="rId11"/>
                    <a:stretch>
                      <a:fillRect/>
                    </a:stretch>
                  </pic:blipFill>
                  <pic:spPr>
                    <a:xfrm>
                      <a:off x="0" y="0"/>
                      <a:ext cx="5029200" cy="3830562"/>
                    </a:xfrm>
                    <a:prstGeom prst="rect"/>
                  </pic:spPr>
                </pic:pic>
              </a:graphicData>
            </a:graphic>
          </wp:inline>
        </w:drawing>
      </w:r>
    </w:p>
    <w:p>
      <w:pPr>
        <w:jc w:val="center"/>
      </w:pPr>
      <w:r>
        <w:rPr>
          <w:rFonts w:ascii="Georgia" w:hAnsi="Georgia"/>
          <w:i/>
          <w:color w:val="808080"/>
          <w:sz w:val="18"/>
        </w:rPr>
        <w:t>Fig. 2: Capital Structure Breakdown — ₹22 Crore Total Capitalization</w:t>
      </w:r>
    </w:p>
    <w:p>
      <w:pPr>
        <w:spacing w:after="160"/>
      </w:pPr>
    </w:p>
    <w:p>
      <w:pPr>
        <w:spacing w:after="160" w:line="300" w:lineRule="auto"/>
      </w:pPr>
      <w:r>
        <w:rPr>
          <w:rFonts w:ascii="Georgia" w:hAnsi="Georgia"/>
          <w:color w:val="3C3C3C"/>
          <w:sz w:val="21"/>
        </w:rPr>
        <w:t>The most glaring structural anomaly is the integration of the COFO model against this capitalization table. Establishing a premium 100-cover lounge requires ₹60 Lakh to ₹1.2 Crore per location. Under COFO, constructing 367 lounges requires ₹220–₹440 Crore—a 10x to 20x shortfall against the stated ₹22 Crore capitalization.</w:t>
      </w:r>
    </w:p>
    <w:p>
      <w:pPr>
        <w:jc w:val="center"/>
      </w:pPr>
      <w:r>
        <w:drawing>
          <wp:inline xmlns:a="http://schemas.openxmlformats.org/drawingml/2006/main" xmlns:pic="http://schemas.openxmlformats.org/drawingml/2006/picture">
            <wp:extent cx="5029200" cy="3607075"/>
            <wp:docPr id="4" name="Picture 4"/>
            <wp:cNvGraphicFramePr>
              <a:graphicFrameLocks noChangeAspect="1"/>
            </wp:cNvGraphicFramePr>
            <a:graphic>
              <a:graphicData uri="http://schemas.openxmlformats.org/drawingml/2006/picture">
                <pic:pic>
                  <pic:nvPicPr>
                    <pic:cNvPr id="0" name="bar_franchise_model.png"/>
                    <pic:cNvPicPr/>
                  </pic:nvPicPr>
                  <pic:blipFill>
                    <a:blip r:embed="rId12"/>
                    <a:stretch>
                      <a:fillRect/>
                    </a:stretch>
                  </pic:blipFill>
                  <pic:spPr>
                    <a:xfrm>
                      <a:off x="0" y="0"/>
                      <a:ext cx="5029200" cy="3607075"/>
                    </a:xfrm>
                    <a:prstGeom prst="rect"/>
                  </pic:spPr>
                </pic:pic>
              </a:graphicData>
            </a:graphic>
          </wp:inline>
        </w:drawing>
      </w:r>
    </w:p>
    <w:p>
      <w:pPr>
        <w:jc w:val="center"/>
      </w:pPr>
      <w:r>
        <w:rPr>
          <w:rFonts w:ascii="Georgia" w:hAnsi="Georgia"/>
          <w:i/>
          <w:color w:val="808080"/>
          <w:sz w:val="18"/>
        </w:rPr>
        <w:t>Fig. 3: Franchise Model Comparison — Capital Expenditure Distribution</w:t>
      </w:r>
    </w:p>
    <w:p>
      <w:pPr>
        <w:spacing w:after="160"/>
      </w:pPr>
    </w:p>
    <w:p>
      <w:r>
        <w:br w:type="page"/>
      </w:r>
    </w:p>
    <w:p>
      <w:pPr>
        <w:spacing w:before="400" w:after="120"/>
      </w:pPr>
      <w:r>
        <w:rPr>
          <w:rFonts w:ascii="Georgia" w:hAnsi="Georgia"/>
          <w:b/>
          <w:color w:val="D4AF37"/>
          <w:sz w:val="30"/>
        </w:rPr>
        <w:t xml:space="preserve">§3  </w:t>
      </w:r>
      <w:r>
        <w:rPr>
          <w:rFonts w:ascii="Segoe UI" w:hAnsi="Segoe UI"/>
          <w:b/>
          <w:color w:val="111111"/>
          <w:sz w:val="30"/>
        </w:rPr>
        <w:t>REGULATORY FRAMEWORK &amp; INTER-STATE EXCISE DYNAMICS</w:t>
      </w:r>
    </w:p>
    <w:p>
      <w:pPr>
        <w:spacing w:after="160" w:line="300" w:lineRule="auto"/>
      </w:pPr>
      <w:r>
        <w:rPr>
          <w:rFonts w:ascii="Georgia" w:hAnsi="Georgia"/>
          <w:color w:val="3C3C3C"/>
          <w:sz w:val="21"/>
        </w:rPr>
        <w:t>Alcohol is constitutionally classified as a state subject in India under Entry 8 of the State List. There is no single central liquor law—each state has autonomous authority over manufacture, transport, taxation, and sale of intoxicating liquors.</w:t>
      </w:r>
    </w:p>
    <w:tbl>
      <w:tblPr>
        <w:tblW w:type="auto" w:w="0"/>
        <w:jc w:val="center"/>
        <w:tblLook w:firstColumn="1" w:firstRow="1" w:lastColumn="0" w:lastRow="0" w:noHBand="0" w:noVBand="1" w:val="04A0"/>
      </w:tblPr>
      <w:tblGrid>
        <w:gridCol w:w="10080"/>
      </w:tblGrid>
      <w:tr>
        <w:tc>
          <w:tcPr>
            <w:tcW w:type="dxa" w:w="10080"/>
            <w:shd w:fill="FFF5F5"/>
            <w:tcMar>
              <w:top w:w="180" w:type="dxa"/>
              <w:bottom w:w="180" w:type="dxa"/>
              <w:left w:w="250" w:type="dxa"/>
              <w:right w:w="250" w:type="dxa"/>
            </w:tcMar>
            <w:tcBorders>
              <w:left w:val="single" w:sz="36" w:space="0" w:color="C0392B"/>
              <w:top w:val="none"/>
              <w:right w:val="none"/>
              <w:bottom w:val="none"/>
            </w:tcBorders>
          </w:tcPr>
          <w:p>
            <w:r>
              <w:rPr>
                <w:rFonts w:ascii="Segoe UI Semibold" w:hAnsi="Segoe UI Semibold"/>
                <w:color w:val="B8860B"/>
                <w:sz w:val="22"/>
              </w:rPr>
              <w:t>✦ CRITICAL LEGAL RISK</w:t>
              <w:br/>
            </w:r>
            <w:r>
              <w:rPr>
                <w:rFonts w:ascii="Georgia" w:hAnsi="Georgia"/>
                <w:color w:val="222222"/>
                <w:sz w:val="21"/>
              </w:rPr>
              <w:t>The assumption that Goa's favorable excise regime translates into 30-40% margin advantage for Maharashtra retail is fundamentally flawed. Once Goa-manufactured spirits cross the border legally, they are immediately subjected to Maharashtra's excise duty multiplier (Manufacturing Cost × 4.5) plus up to 40% VAT on MRP, entirely neutralizing the Goan tax advantage.</w:t>
            </w:r>
          </w:p>
        </w:tc>
      </w:tr>
    </w:tbl>
    <w:p>
      <w:pPr>
        <w:spacing w:after="160"/>
      </w:pPr>
    </w:p>
    <w:p>
      <w:pPr>
        <w:spacing w:before="240" w:after="80"/>
      </w:pPr>
      <w:r>
        <w:rPr>
          <w:rFonts w:ascii="Segoe UI Semibold" w:hAnsi="Segoe UI Semibold"/>
          <w:color w:val="0A1628"/>
          <w:sz w:val="24"/>
        </w:rPr>
        <w:t>▸ Inter-State Import Protocol Requirements</w:t>
      </w:r>
    </w:p>
    <w:p>
      <w:pPr>
        <w:spacing w:after="120"/>
        <w:ind w:left="432"/>
      </w:pPr>
      <w:r>
        <w:rPr>
          <w:rFonts w:ascii="Georgia" w:hAnsi="Georgia"/>
          <w:b/>
          <w:color w:val="111111"/>
          <w:sz w:val="21"/>
        </w:rPr>
        <w:t xml:space="preserve">3.1. </w:t>
      </w:r>
      <w:r>
        <w:rPr>
          <w:rFonts w:ascii="Georgia" w:hAnsi="Georgia"/>
          <w:color w:val="3C3C3C"/>
          <w:sz w:val="21"/>
        </w:rPr>
        <w:t>No Objection Certificate (NOC) from Goa Excise Department for export clearance.</w:t>
      </w:r>
    </w:p>
    <w:p>
      <w:pPr>
        <w:spacing w:after="120"/>
        <w:ind w:left="432"/>
      </w:pPr>
      <w:r>
        <w:rPr>
          <w:rFonts w:ascii="Georgia" w:hAnsi="Georgia"/>
          <w:b/>
          <w:color w:val="111111"/>
          <w:sz w:val="21"/>
        </w:rPr>
        <w:t xml:space="preserve">3.2. </w:t>
      </w:r>
      <w:r>
        <w:rPr>
          <w:rFonts w:ascii="Georgia" w:hAnsi="Georgia"/>
          <w:color w:val="3C3C3C"/>
          <w:sz w:val="21"/>
        </w:rPr>
        <w:t>Import Permit from Maharashtra State Excise Department.</w:t>
      </w:r>
    </w:p>
    <w:p>
      <w:pPr>
        <w:spacing w:after="120"/>
        <w:ind w:left="432"/>
      </w:pPr>
      <w:r>
        <w:rPr>
          <w:rFonts w:ascii="Georgia" w:hAnsi="Georgia"/>
          <w:b/>
          <w:color w:val="111111"/>
          <w:sz w:val="21"/>
        </w:rPr>
        <w:t xml:space="preserve">3.3. </w:t>
      </w:r>
      <w:r>
        <w:rPr>
          <w:rFonts w:ascii="Georgia" w:hAnsi="Georgia"/>
          <w:color w:val="3C3C3C"/>
          <w:sz w:val="21"/>
        </w:rPr>
        <w:t>Transport Pass (TP) with GPS-tracked bonded vehicle dispatch.</w:t>
      </w:r>
    </w:p>
    <w:p>
      <w:pPr>
        <w:spacing w:after="120"/>
        <w:ind w:left="432"/>
      </w:pPr>
      <w:r>
        <w:rPr>
          <w:rFonts w:ascii="Georgia" w:hAnsi="Georgia"/>
          <w:b/>
          <w:color w:val="111111"/>
          <w:sz w:val="21"/>
        </w:rPr>
        <w:t xml:space="preserve">3.4. </w:t>
      </w:r>
      <w:r>
        <w:rPr>
          <w:rFonts w:ascii="Georgia" w:hAnsi="Georgia"/>
          <w:color w:val="3C3C3C"/>
          <w:sz w:val="21"/>
        </w:rPr>
        <w:t>Maharashtra Border Checkpost verification and full duty payment.</w:t>
      </w:r>
    </w:p>
    <w:p>
      <w:pPr>
        <w:spacing w:after="120"/>
        <w:ind w:left="432"/>
      </w:pPr>
      <w:r>
        <w:rPr>
          <w:rFonts w:ascii="Georgia" w:hAnsi="Georgia"/>
          <w:b/>
          <w:color w:val="111111"/>
          <w:sz w:val="21"/>
        </w:rPr>
        <w:t xml:space="preserve">3.5. </w:t>
      </w:r>
      <w:r>
        <w:rPr>
          <w:rFonts w:ascii="Georgia" w:hAnsi="Georgia"/>
          <w:color w:val="3C3C3C"/>
          <w:sz w:val="21"/>
        </w:rPr>
        <w:t>Deposit into FL-1 licensed Bonded Wholesale Warehouse in Maharashtra.</w:t>
      </w:r>
    </w:p>
    <w:p>
      <w:pPr>
        <w:spacing w:after="120"/>
        <w:ind w:left="432"/>
      </w:pPr>
      <w:r>
        <w:rPr>
          <w:rFonts w:ascii="Georgia" w:hAnsi="Georgia"/>
          <w:b/>
          <w:color w:val="111111"/>
          <w:sz w:val="21"/>
        </w:rPr>
        <w:t xml:space="preserve">3.6. </w:t>
      </w:r>
      <w:r>
        <w:rPr>
          <w:rFonts w:ascii="Georgia" w:hAnsi="Georgia"/>
          <w:color w:val="3C3C3C"/>
          <w:sz w:val="21"/>
        </w:rPr>
        <w:t>Personal possession limit: 6 bottles of 750ml maximum for inter-state transport. Large-scale circumvention constitutes bootlegging under the Maharashtra Prohibition Act.</w:t>
      </w:r>
    </w:p>
    <w:p>
      <w:r>
        <w:br w:type="page"/>
      </w:r>
    </w:p>
    <w:p>
      <w:pPr>
        <w:spacing w:before="400" w:after="120"/>
      </w:pPr>
      <w:r>
        <w:rPr>
          <w:rFonts w:ascii="Georgia" w:hAnsi="Georgia"/>
          <w:b/>
          <w:color w:val="D4AF37"/>
          <w:sz w:val="30"/>
        </w:rPr>
        <w:t xml:space="preserve">§4  </w:t>
      </w:r>
      <w:r>
        <w:rPr>
          <w:rFonts w:ascii="Segoe UI" w:hAnsi="Segoe UI"/>
          <w:b/>
          <w:color w:val="111111"/>
          <w:sz w:val="30"/>
        </w:rPr>
        <w:t>PRODUCT PORTFOLIO STRATEGY &amp; MARGIN ANALYSIS</w:t>
      </w:r>
    </w:p>
    <w:p>
      <w:pPr>
        <w:spacing w:after="160" w:line="300" w:lineRule="auto"/>
      </w:pPr>
      <w:r>
        <w:rPr>
          <w:rFonts w:ascii="Georgia" w:hAnsi="Georgia"/>
          <w:color w:val="3C3C3C"/>
          <w:sz w:val="21"/>
        </w:rPr>
        <w:t>The FeraBee product catalog covers Whisky, Vodka, Gin, Rum, and Craft Beer—all at 42.8% v/v IMFL standard strength. Custom luxury packaging aligns with the premiumization macro-trend (18% CAGR in premium spirits).</w:t>
      </w: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2520"/>
        <w:gridCol w:w="2520"/>
        <w:gridCol w:w="2520"/>
        <w:gridCol w:w="2520"/>
      </w:tblGrid>
      <w:tr>
        <w:tc>
          <w:tcPr>
            <w:tcW w:type="dxa" w:w="2520"/>
            <w:shd w:fill="0A1628"/>
            <w:tcMar>
              <w:top w:w="100" w:type="dxa"/>
              <w:bottom w:w="100" w:type="dxa"/>
              <w:left w:w="130" w:type="dxa"/>
              <w:right w:w="130" w:type="dxa"/>
            </w:tcMar>
          </w:tcPr>
          <w:p>
            <w:r>
              <w:rPr>
                <w:rFonts w:ascii="Segoe UI" w:hAnsi="Segoe UI"/>
                <w:b/>
                <w:color w:val="FFD700"/>
                <w:sz w:val="20"/>
              </w:rPr>
              <w:t>Product</w:t>
            </w:r>
          </w:p>
        </w:tc>
        <w:tc>
          <w:tcPr>
            <w:tcW w:type="dxa" w:w="2520"/>
            <w:shd w:fill="0A1628"/>
            <w:tcMar>
              <w:top w:w="100" w:type="dxa"/>
              <w:bottom w:w="100" w:type="dxa"/>
              <w:left w:w="130" w:type="dxa"/>
              <w:right w:w="130" w:type="dxa"/>
            </w:tcMar>
          </w:tcPr>
          <w:p>
            <w:r>
              <w:rPr>
                <w:rFonts w:ascii="Segoe UI" w:hAnsi="Segoe UI"/>
                <w:b/>
                <w:color w:val="FFD700"/>
                <w:sz w:val="20"/>
              </w:rPr>
              <w:t>Spec</w:t>
            </w:r>
          </w:p>
        </w:tc>
        <w:tc>
          <w:tcPr>
            <w:tcW w:type="dxa" w:w="2520"/>
            <w:shd w:fill="0A1628"/>
            <w:tcMar>
              <w:top w:w="100" w:type="dxa"/>
              <w:bottom w:w="100" w:type="dxa"/>
              <w:left w:w="130" w:type="dxa"/>
              <w:right w:w="130" w:type="dxa"/>
            </w:tcMar>
          </w:tcPr>
          <w:p>
            <w:r>
              <w:rPr>
                <w:rFonts w:ascii="Segoe UI" w:hAnsi="Segoe UI"/>
                <w:b/>
                <w:color w:val="FFD700"/>
                <w:sz w:val="20"/>
              </w:rPr>
              <w:t>Goa MRP</w:t>
            </w:r>
          </w:p>
        </w:tc>
        <w:tc>
          <w:tcPr>
            <w:tcW w:type="dxa" w:w="2520"/>
            <w:shd w:fill="0A1628"/>
            <w:tcMar>
              <w:top w:w="100" w:type="dxa"/>
              <w:bottom w:w="100" w:type="dxa"/>
              <w:left w:w="130" w:type="dxa"/>
              <w:right w:w="130" w:type="dxa"/>
            </w:tcMar>
          </w:tcPr>
          <w:p>
            <w:r>
              <w:rPr>
                <w:rFonts w:ascii="Segoe UI" w:hAnsi="Segoe UI"/>
                <w:b/>
                <w:color w:val="FFD700"/>
                <w:sz w:val="20"/>
              </w:rPr>
              <w:t>Est. MH MRP (After Excise)</w:t>
            </w:r>
          </w:p>
        </w:tc>
      </w:tr>
      <w:tr>
        <w:tc>
          <w:tcPr>
            <w:tcW w:type="dxa" w:w="2520"/>
            <w:shd w:fill="FFFFFF"/>
            <w:tcMar>
              <w:top w:w="80" w:type="dxa"/>
              <w:bottom w:w="80" w:type="dxa"/>
              <w:left w:w="130" w:type="dxa"/>
              <w:right w:w="130" w:type="dxa"/>
            </w:tcMar>
          </w:tcPr>
          <w:p>
            <w:r>
              <w:rPr>
                <w:rFonts w:ascii="Segoe UI" w:hAnsi="Segoe UI"/>
                <w:color w:val="333333"/>
                <w:sz w:val="20"/>
              </w:rPr>
              <w:t>FeraBee Whisky</w:t>
            </w:r>
          </w:p>
        </w:tc>
        <w:tc>
          <w:tcPr>
            <w:tcW w:type="dxa" w:w="2520"/>
            <w:shd w:fill="FFFFFF"/>
            <w:tcMar>
              <w:top w:w="80" w:type="dxa"/>
              <w:bottom w:w="80" w:type="dxa"/>
              <w:left w:w="130" w:type="dxa"/>
              <w:right w:w="130" w:type="dxa"/>
            </w:tcMar>
          </w:tcPr>
          <w:p>
            <w:r>
              <w:rPr>
                <w:rFonts w:ascii="Segoe UI" w:hAnsi="Segoe UI"/>
                <w:color w:val="333333"/>
                <w:sz w:val="20"/>
              </w:rPr>
              <w:t>42.8% v/v Grain &amp; Malt, Honey Finish</w:t>
            </w:r>
          </w:p>
        </w:tc>
        <w:tc>
          <w:tcPr>
            <w:tcW w:type="dxa" w:w="2520"/>
            <w:shd w:fill="FFFFFF"/>
            <w:tcMar>
              <w:top w:w="80" w:type="dxa"/>
              <w:bottom w:w="80" w:type="dxa"/>
              <w:left w:w="130" w:type="dxa"/>
              <w:right w:w="130" w:type="dxa"/>
            </w:tcMar>
          </w:tcPr>
          <w:p>
            <w:r>
              <w:rPr>
                <w:rFonts w:ascii="Segoe UI" w:hAnsi="Segoe UI"/>
                <w:color w:val="333333"/>
                <w:sz w:val="20"/>
              </w:rPr>
              <w:t>₹1,350</w:t>
            </w:r>
          </w:p>
        </w:tc>
        <w:tc>
          <w:tcPr>
            <w:tcW w:type="dxa" w:w="2520"/>
            <w:shd w:fill="FFFFFF"/>
            <w:tcMar>
              <w:top w:w="80" w:type="dxa"/>
              <w:bottom w:w="80" w:type="dxa"/>
              <w:left w:w="130" w:type="dxa"/>
              <w:right w:w="130" w:type="dxa"/>
            </w:tcMar>
          </w:tcPr>
          <w:p>
            <w:r>
              <w:rPr>
                <w:rFonts w:ascii="Segoe UI" w:hAnsi="Segoe UI"/>
                <w:color w:val="333333"/>
                <w:sz w:val="20"/>
              </w:rPr>
              <w:t>₹2,200–₹2,500</w:t>
            </w:r>
          </w:p>
        </w:tc>
      </w:tr>
      <w:tr>
        <w:tc>
          <w:tcPr>
            <w:tcW w:type="dxa" w:w="2520"/>
            <w:shd w:fill="F0F4F8"/>
            <w:tcMar>
              <w:top w:w="80" w:type="dxa"/>
              <w:bottom w:w="80" w:type="dxa"/>
              <w:left w:w="130" w:type="dxa"/>
              <w:right w:w="130" w:type="dxa"/>
            </w:tcMar>
          </w:tcPr>
          <w:p>
            <w:r>
              <w:rPr>
                <w:rFonts w:ascii="Segoe UI" w:hAnsi="Segoe UI"/>
                <w:color w:val="333333"/>
                <w:sz w:val="20"/>
              </w:rPr>
              <w:t>FeraBee Vodka</w:t>
            </w:r>
          </w:p>
        </w:tc>
        <w:tc>
          <w:tcPr>
            <w:tcW w:type="dxa" w:w="2520"/>
            <w:shd w:fill="F0F4F8"/>
            <w:tcMar>
              <w:top w:w="80" w:type="dxa"/>
              <w:bottom w:w="80" w:type="dxa"/>
              <w:left w:w="130" w:type="dxa"/>
              <w:right w:w="130" w:type="dxa"/>
            </w:tcMar>
          </w:tcPr>
          <w:p>
            <w:r>
              <w:rPr>
                <w:rFonts w:ascii="Segoe UI" w:hAnsi="Segoe UI"/>
                <w:color w:val="333333"/>
                <w:sz w:val="20"/>
              </w:rPr>
              <w:t>42.8% v/v Triple-Distilled</w:t>
            </w:r>
          </w:p>
        </w:tc>
        <w:tc>
          <w:tcPr>
            <w:tcW w:type="dxa" w:w="2520"/>
            <w:shd w:fill="F0F4F8"/>
            <w:tcMar>
              <w:top w:w="80" w:type="dxa"/>
              <w:bottom w:w="80" w:type="dxa"/>
              <w:left w:w="130" w:type="dxa"/>
              <w:right w:w="130" w:type="dxa"/>
            </w:tcMar>
          </w:tcPr>
          <w:p>
            <w:r>
              <w:rPr>
                <w:rFonts w:ascii="Segoe UI" w:hAnsi="Segoe UI"/>
                <w:color w:val="333333"/>
                <w:sz w:val="20"/>
              </w:rPr>
              <w:t>₹1,150</w:t>
            </w:r>
          </w:p>
        </w:tc>
        <w:tc>
          <w:tcPr>
            <w:tcW w:type="dxa" w:w="2520"/>
            <w:shd w:fill="F0F4F8"/>
            <w:tcMar>
              <w:top w:w="80" w:type="dxa"/>
              <w:bottom w:w="80" w:type="dxa"/>
              <w:left w:w="130" w:type="dxa"/>
              <w:right w:w="130" w:type="dxa"/>
            </w:tcMar>
          </w:tcPr>
          <w:p>
            <w:r>
              <w:rPr>
                <w:rFonts w:ascii="Segoe UI" w:hAnsi="Segoe UI"/>
                <w:color w:val="333333"/>
                <w:sz w:val="20"/>
              </w:rPr>
              <w:t>₹1,900–₹2,100</w:t>
            </w:r>
          </w:p>
        </w:tc>
      </w:tr>
      <w:tr>
        <w:tc>
          <w:tcPr>
            <w:tcW w:type="dxa" w:w="2520"/>
            <w:shd w:fill="FFFFFF"/>
            <w:tcMar>
              <w:top w:w="80" w:type="dxa"/>
              <w:bottom w:w="80" w:type="dxa"/>
              <w:left w:w="130" w:type="dxa"/>
              <w:right w:w="130" w:type="dxa"/>
            </w:tcMar>
          </w:tcPr>
          <w:p>
            <w:r>
              <w:rPr>
                <w:rFonts w:ascii="Segoe UI" w:hAnsi="Segoe UI"/>
                <w:color w:val="333333"/>
                <w:sz w:val="20"/>
              </w:rPr>
              <w:t>FeraBee Gin</w:t>
            </w:r>
          </w:p>
        </w:tc>
        <w:tc>
          <w:tcPr>
            <w:tcW w:type="dxa" w:w="2520"/>
            <w:shd w:fill="FFFFFF"/>
            <w:tcMar>
              <w:top w:w="80" w:type="dxa"/>
              <w:bottom w:w="80" w:type="dxa"/>
              <w:left w:w="130" w:type="dxa"/>
              <w:right w:w="130" w:type="dxa"/>
            </w:tcMar>
          </w:tcPr>
          <w:p>
            <w:r>
              <w:rPr>
                <w:rFonts w:ascii="Segoe UI" w:hAnsi="Segoe UI"/>
                <w:color w:val="333333"/>
                <w:sz w:val="20"/>
              </w:rPr>
              <w:t>42.8% Artisanal Botanical</w:t>
            </w:r>
          </w:p>
        </w:tc>
        <w:tc>
          <w:tcPr>
            <w:tcW w:type="dxa" w:w="2520"/>
            <w:shd w:fill="FFFFFF"/>
            <w:tcMar>
              <w:top w:w="80" w:type="dxa"/>
              <w:bottom w:w="80" w:type="dxa"/>
              <w:left w:w="130" w:type="dxa"/>
              <w:right w:w="130" w:type="dxa"/>
            </w:tcMar>
          </w:tcPr>
          <w:p>
            <w:r>
              <w:rPr>
                <w:rFonts w:ascii="Segoe UI" w:hAnsi="Segoe UI"/>
                <w:color w:val="333333"/>
                <w:sz w:val="20"/>
              </w:rPr>
              <w:t>₹1,450</w:t>
            </w:r>
          </w:p>
        </w:tc>
        <w:tc>
          <w:tcPr>
            <w:tcW w:type="dxa" w:w="2520"/>
            <w:shd w:fill="FFFFFF"/>
            <w:tcMar>
              <w:top w:w="80" w:type="dxa"/>
              <w:bottom w:w="80" w:type="dxa"/>
              <w:left w:w="130" w:type="dxa"/>
              <w:right w:w="130" w:type="dxa"/>
            </w:tcMar>
          </w:tcPr>
          <w:p>
            <w:r>
              <w:rPr>
                <w:rFonts w:ascii="Segoe UI" w:hAnsi="Segoe UI"/>
                <w:color w:val="333333"/>
                <w:sz w:val="20"/>
              </w:rPr>
              <w:t>₹2,400–₹2,700</w:t>
            </w:r>
          </w:p>
        </w:tc>
      </w:tr>
      <w:tr>
        <w:tc>
          <w:tcPr>
            <w:tcW w:type="dxa" w:w="2520"/>
            <w:shd w:fill="F0F4F8"/>
            <w:tcMar>
              <w:top w:w="80" w:type="dxa"/>
              <w:bottom w:w="80" w:type="dxa"/>
              <w:left w:w="130" w:type="dxa"/>
              <w:right w:w="130" w:type="dxa"/>
            </w:tcMar>
          </w:tcPr>
          <w:p>
            <w:r>
              <w:rPr>
                <w:rFonts w:ascii="Segoe UI" w:hAnsi="Segoe UI"/>
                <w:color w:val="333333"/>
                <w:sz w:val="20"/>
              </w:rPr>
              <w:t>FeraBee Rum</w:t>
            </w:r>
          </w:p>
        </w:tc>
        <w:tc>
          <w:tcPr>
            <w:tcW w:type="dxa" w:w="2520"/>
            <w:shd w:fill="F0F4F8"/>
            <w:tcMar>
              <w:top w:w="80" w:type="dxa"/>
              <w:bottom w:w="80" w:type="dxa"/>
              <w:left w:w="130" w:type="dxa"/>
              <w:right w:w="130" w:type="dxa"/>
            </w:tcMar>
          </w:tcPr>
          <w:p>
            <w:r>
              <w:rPr>
                <w:rFonts w:ascii="Segoe UI" w:hAnsi="Segoe UI"/>
                <w:color w:val="333333"/>
                <w:sz w:val="20"/>
              </w:rPr>
              <w:t>42.8% Premium Dark Molasses</w:t>
            </w:r>
          </w:p>
        </w:tc>
        <w:tc>
          <w:tcPr>
            <w:tcW w:type="dxa" w:w="2520"/>
            <w:shd w:fill="F0F4F8"/>
            <w:tcMar>
              <w:top w:w="80" w:type="dxa"/>
              <w:bottom w:w="80" w:type="dxa"/>
              <w:left w:w="130" w:type="dxa"/>
              <w:right w:w="130" w:type="dxa"/>
            </w:tcMar>
          </w:tcPr>
          <w:p>
            <w:r>
              <w:rPr>
                <w:rFonts w:ascii="Segoe UI" w:hAnsi="Segoe UI"/>
                <w:color w:val="333333"/>
                <w:sz w:val="20"/>
              </w:rPr>
              <w:t>₹1,050</w:t>
            </w:r>
          </w:p>
        </w:tc>
        <w:tc>
          <w:tcPr>
            <w:tcW w:type="dxa" w:w="2520"/>
            <w:shd w:fill="F0F4F8"/>
            <w:tcMar>
              <w:top w:w="80" w:type="dxa"/>
              <w:bottom w:w="80" w:type="dxa"/>
              <w:left w:w="130" w:type="dxa"/>
              <w:right w:w="130" w:type="dxa"/>
            </w:tcMar>
          </w:tcPr>
          <w:p>
            <w:r>
              <w:rPr>
                <w:rFonts w:ascii="Segoe UI" w:hAnsi="Segoe UI"/>
                <w:color w:val="333333"/>
                <w:sz w:val="20"/>
              </w:rPr>
              <w:t>₹1,700–₹1,900</w:t>
            </w:r>
          </w:p>
        </w:tc>
      </w:tr>
      <w:tr>
        <w:tc>
          <w:tcPr>
            <w:tcW w:type="dxa" w:w="2520"/>
            <w:shd w:fill="FFFFFF"/>
            <w:tcMar>
              <w:top w:w="80" w:type="dxa"/>
              <w:bottom w:w="80" w:type="dxa"/>
              <w:left w:w="130" w:type="dxa"/>
              <w:right w:w="130" w:type="dxa"/>
            </w:tcMar>
          </w:tcPr>
          <w:p>
            <w:r>
              <w:rPr>
                <w:rFonts w:ascii="Segoe UI" w:hAnsi="Segoe UI"/>
                <w:color w:val="333333"/>
                <w:sz w:val="20"/>
              </w:rPr>
              <w:t>FeraBee Beer</w:t>
            </w:r>
          </w:p>
        </w:tc>
        <w:tc>
          <w:tcPr>
            <w:tcW w:type="dxa" w:w="2520"/>
            <w:shd w:fill="FFFFFF"/>
            <w:tcMar>
              <w:top w:w="80" w:type="dxa"/>
              <w:bottom w:w="80" w:type="dxa"/>
              <w:left w:w="130" w:type="dxa"/>
              <w:right w:w="130" w:type="dxa"/>
            </w:tcMar>
          </w:tcPr>
          <w:p>
            <w:r>
              <w:rPr>
                <w:rFonts w:ascii="Segoe UI" w:hAnsi="Segoe UI"/>
                <w:color w:val="333333"/>
                <w:sz w:val="20"/>
              </w:rPr>
              <w:t>5.0% Premium Crisp Lager</w:t>
            </w:r>
          </w:p>
        </w:tc>
        <w:tc>
          <w:tcPr>
            <w:tcW w:type="dxa" w:w="2520"/>
            <w:shd w:fill="FFFFFF"/>
            <w:tcMar>
              <w:top w:w="80" w:type="dxa"/>
              <w:bottom w:w="80" w:type="dxa"/>
              <w:left w:w="130" w:type="dxa"/>
              <w:right w:w="130" w:type="dxa"/>
            </w:tcMar>
          </w:tcPr>
          <w:p>
            <w:r>
              <w:rPr>
                <w:rFonts w:ascii="Segoe UI" w:hAnsi="Segoe UI"/>
                <w:color w:val="333333"/>
                <w:sz w:val="20"/>
              </w:rPr>
              <w:t>₹140</w:t>
            </w:r>
          </w:p>
        </w:tc>
        <w:tc>
          <w:tcPr>
            <w:tcW w:type="dxa" w:w="2520"/>
            <w:shd w:fill="FFFFFF"/>
            <w:tcMar>
              <w:top w:w="80" w:type="dxa"/>
              <w:bottom w:w="80" w:type="dxa"/>
              <w:left w:w="130" w:type="dxa"/>
              <w:right w:w="130" w:type="dxa"/>
            </w:tcMar>
          </w:tcPr>
          <w:p>
            <w:r>
              <w:rPr>
                <w:rFonts w:ascii="Segoe UI" w:hAnsi="Segoe UI"/>
                <w:color w:val="333333"/>
                <w:sz w:val="20"/>
              </w:rPr>
              <w:t>₹220–₹280</w:t>
            </w:r>
          </w:p>
        </w:tc>
      </w:tr>
    </w:tbl>
    <w:p>
      <w:pPr>
        <w:spacing w:after="200"/>
      </w:pPr>
    </w:p>
    <w:tbl>
      <w:tblPr>
        <w:tblW w:type="auto" w:w="0"/>
        <w:jc w:val="center"/>
        <w:tblLook w:firstColumn="1" w:firstRow="1" w:lastColumn="0" w:lastRow="0" w:noHBand="0" w:noVBand="1" w:val="04A0"/>
      </w:tblPr>
      <w:tblGrid>
        <w:gridCol w:w="10080"/>
      </w:tblGrid>
      <w:tr>
        <w:tc>
          <w:tcPr>
            <w:tcW w:type="dxa" w:w="10080"/>
            <w:shd w:fill="FBF9F1"/>
            <w:tcMar>
              <w:top w:w="180" w:type="dxa"/>
              <w:bottom w:w="180" w:type="dxa"/>
              <w:left w:w="250" w:type="dxa"/>
              <w:right w:w="250" w:type="dxa"/>
            </w:tcMar>
            <w:tcBorders>
              <w:left w:val="single" w:sz="36" w:space="0" w:color="D4AF37"/>
              <w:top w:val="none"/>
              <w:right w:val="none"/>
              <w:bottom w:val="none"/>
            </w:tcBorders>
          </w:tcPr>
          <w:p>
            <w:r>
              <w:rPr>
                <w:rFonts w:ascii="Segoe UI Semibold" w:hAnsi="Segoe UI Semibold"/>
                <w:color w:val="B8860B"/>
                <w:sz w:val="22"/>
              </w:rPr>
              <w:t>✦ PACKAGING RISK NOTE</w:t>
              <w:br/>
            </w:r>
            <w:r>
              <w:rPr>
                <w:rFonts w:ascii="Georgia" w:hAnsi="Georgia"/>
                <w:color w:val="222222"/>
                <w:sz w:val="21"/>
              </w:rPr>
              <w:t>Custom glass molds require massive volume commitments, tying up significant cash in raw material inventory. If COFO consumes the bulk of the ₹22 Crore for real estate, funding custom packaging across six unique SKUs will severely strain liquidity.</w:t>
            </w:r>
          </w:p>
        </w:tc>
      </w:tr>
    </w:tbl>
    <w:p>
      <w:pPr>
        <w:spacing w:after="160"/>
      </w:pPr>
    </w:p>
    <w:p>
      <w:r>
        <w:br w:type="page"/>
      </w:r>
    </w:p>
    <w:p>
      <w:pPr>
        <w:spacing w:before="400" w:after="120"/>
      </w:pPr>
      <w:r>
        <w:rPr>
          <w:rFonts w:ascii="Georgia" w:hAnsi="Georgia"/>
          <w:b/>
          <w:color w:val="D4AF37"/>
          <w:sz w:val="30"/>
        </w:rPr>
        <w:t xml:space="preserve">§5  </w:t>
      </w:r>
      <w:r>
        <w:rPr>
          <w:rFonts w:ascii="Segoe UI" w:hAnsi="Segoe UI"/>
          <w:b/>
          <w:color w:val="111111"/>
          <w:sz w:val="30"/>
        </w:rPr>
        <w:t>THE LOUNGE EXPERIENCE &amp; LEGAL COMPLIANCE ARCHITECTURE</w:t>
      </w:r>
    </w:p>
    <w:p>
      <w:pPr>
        <w:spacing w:after="160" w:line="300" w:lineRule="auto"/>
      </w:pPr>
      <w:r>
        <w:rPr>
          <w:rFonts w:ascii="Georgia" w:hAnsi="Georgia"/>
          <w:color w:val="3C3C3C"/>
          <w:sz w:val="21"/>
        </w:rPr>
        <w:t>The commercial catalyst driving the projected 105 daily guests is the tiered 'Unlimited Food + Spirits' package. The original model attempts to frame this as 'Unlimited Food + Complimentary FeraBee Tasting' to circumvent state liquor promotion laws.</w:t>
      </w:r>
    </w:p>
    <w:tbl>
      <w:tblPr>
        <w:tblW w:type="auto" w:w="0"/>
        <w:jc w:val="center"/>
        <w:tblLook w:firstColumn="1" w:firstRow="1" w:lastColumn="0" w:lastRow="0" w:noHBand="0" w:noVBand="1" w:val="04A0"/>
      </w:tblPr>
      <w:tblGrid>
        <w:gridCol w:w="10080"/>
      </w:tblGrid>
      <w:tr>
        <w:tc>
          <w:tcPr>
            <w:tcW w:type="dxa" w:w="10080"/>
            <w:shd w:fill="FFF5F5"/>
            <w:tcMar>
              <w:top w:w="180" w:type="dxa"/>
              <w:bottom w:w="180" w:type="dxa"/>
              <w:left w:w="250" w:type="dxa"/>
              <w:right w:w="250" w:type="dxa"/>
            </w:tcMar>
            <w:tcBorders>
              <w:left w:val="single" w:sz="36" w:space="0" w:color="C0392B"/>
              <w:top w:val="none"/>
              <w:right w:val="none"/>
              <w:bottom w:val="none"/>
            </w:tcBorders>
          </w:tcPr>
          <w:p>
            <w:r>
              <w:rPr>
                <w:rFonts w:ascii="Segoe UI Semibold" w:hAnsi="Segoe UI Semibold"/>
                <w:color w:val="B8860B"/>
                <w:sz w:val="22"/>
              </w:rPr>
              <w:t>✦ EXISTENTIAL LEGAL THREAT</w:t>
              <w:br/>
            </w:r>
            <w:r>
              <w:rPr>
                <w:rFonts w:ascii="Georgia" w:hAnsi="Georgia"/>
                <w:color w:val="222222"/>
                <w:sz w:val="21"/>
              </w:rPr>
              <w:t>The 'complimentary tasting' loophole is fundamentally incompatible with the Maharashtra Prohibition Act, 1949. Section 142 empowers district collectors to suspend licenses for practices deemed hazardous to public order or indicative of tax evasion. A single high-profile excise raid could result in mass license revocations, criminal charges for promoters, and immediate brand destruction.</w:t>
            </w:r>
          </w:p>
        </w:tc>
      </w:tr>
    </w:tbl>
    <w:p>
      <w:pPr>
        <w:spacing w:after="160"/>
      </w:pPr>
    </w:p>
    <w:p>
      <w:pPr>
        <w:spacing w:before="240" w:after="80"/>
      </w:pPr>
      <w:r>
        <w:rPr>
          <w:rFonts w:ascii="Segoe UI Semibold" w:hAnsi="Segoe UI Semibold"/>
          <w:color w:val="0A1628"/>
          <w:sz w:val="24"/>
        </w:rPr>
        <w:t>▸ Age-Gating Compliance Crisis</w:t>
      </w:r>
    </w:p>
    <w:p>
      <w:pPr>
        <w:spacing w:after="160" w:line="300" w:lineRule="auto"/>
      </w:pPr>
      <w:r>
        <w:rPr>
          <w:rFonts w:ascii="Georgia" w:hAnsi="Georgia"/>
          <w:color w:val="3C3C3C"/>
          <w:sz w:val="21"/>
        </w:rPr>
        <w:t>Maharashtra's bifurcated legal drinking age (21 for beer/wine, 25 for spirits) creates impossible enforcement challenges in an 'unlimited, free-flowing' environment. Serving a 24-year-old FeraBee Whisky results in immediate license suspension.</w:t>
      </w:r>
    </w:p>
    <w:p>
      <w:pPr>
        <w:spacing w:before="240" w:after="80"/>
      </w:pPr>
      <w:r>
        <w:rPr>
          <w:rFonts w:ascii="Segoe UI Semibold" w:hAnsi="Segoe UI Semibold"/>
          <w:color w:val="0A1628"/>
          <w:sz w:val="24"/>
        </w:rPr>
        <w:t>▸ Recommended Solution: Pre-Paid Curated Token System</w:t>
      </w:r>
    </w:p>
    <w:p>
      <w:pPr>
        <w:spacing w:after="160" w:line="300" w:lineRule="auto"/>
      </w:pPr>
      <w:r>
        <w:rPr>
          <w:rFonts w:ascii="Georgia" w:hAnsi="Georgia"/>
          <w:color w:val="3C3C3C"/>
          <w:sz w:val="21"/>
        </w:rPr>
        <w:t>The ₹1,499 Gold Bee package should be reformatted to offer 'Unlimited Food + 6 Premium FeraBee Beverage Tokens.' This preserves high perceived value, strictly limits COGS, and remains fully compliant with state excise laws.</w:t>
      </w: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2520"/>
        <w:gridCol w:w="2520"/>
        <w:gridCol w:w="2520"/>
        <w:gridCol w:w="2520"/>
      </w:tblGrid>
      <w:tr>
        <w:tc>
          <w:tcPr>
            <w:tcW w:type="dxa" w:w="2520"/>
            <w:shd w:fill="0A1628"/>
            <w:tcMar>
              <w:top w:w="100" w:type="dxa"/>
              <w:bottom w:w="100" w:type="dxa"/>
              <w:left w:w="130" w:type="dxa"/>
              <w:right w:w="130" w:type="dxa"/>
            </w:tcMar>
          </w:tcPr>
          <w:p>
            <w:r>
              <w:rPr>
                <w:rFonts w:ascii="Segoe UI" w:hAnsi="Segoe UI"/>
                <w:b/>
                <w:color w:val="FFD700"/>
                <w:sz w:val="20"/>
              </w:rPr>
              <w:t>Revised Tier</w:t>
            </w:r>
          </w:p>
        </w:tc>
        <w:tc>
          <w:tcPr>
            <w:tcW w:type="dxa" w:w="2520"/>
            <w:shd w:fill="0A1628"/>
            <w:tcMar>
              <w:top w:w="100" w:type="dxa"/>
              <w:bottom w:w="100" w:type="dxa"/>
              <w:left w:w="130" w:type="dxa"/>
              <w:right w:w="130" w:type="dxa"/>
            </w:tcMar>
          </w:tcPr>
          <w:p>
            <w:r>
              <w:rPr>
                <w:rFonts w:ascii="Segoe UI" w:hAnsi="Segoe UI"/>
                <w:b/>
                <w:color w:val="FFD700"/>
                <w:sz w:val="20"/>
              </w:rPr>
              <w:t>Structure</w:t>
            </w:r>
          </w:p>
        </w:tc>
        <w:tc>
          <w:tcPr>
            <w:tcW w:type="dxa" w:w="2520"/>
            <w:shd w:fill="0A1628"/>
            <w:tcMar>
              <w:top w:w="100" w:type="dxa"/>
              <w:bottom w:w="100" w:type="dxa"/>
              <w:left w:w="130" w:type="dxa"/>
              <w:right w:w="130" w:type="dxa"/>
            </w:tcMar>
          </w:tcPr>
          <w:p>
            <w:r>
              <w:rPr>
                <w:rFonts w:ascii="Segoe UI" w:hAnsi="Segoe UI"/>
                <w:b/>
                <w:color w:val="FFD700"/>
                <w:sz w:val="20"/>
              </w:rPr>
              <w:t>Tokens</w:t>
            </w:r>
          </w:p>
        </w:tc>
        <w:tc>
          <w:tcPr>
            <w:tcW w:type="dxa" w:w="2520"/>
            <w:shd w:fill="0A1628"/>
            <w:tcMar>
              <w:top w:w="100" w:type="dxa"/>
              <w:bottom w:w="100" w:type="dxa"/>
              <w:left w:w="130" w:type="dxa"/>
              <w:right w:w="130" w:type="dxa"/>
            </w:tcMar>
          </w:tcPr>
          <w:p>
            <w:r>
              <w:rPr>
                <w:rFonts w:ascii="Segoe UI" w:hAnsi="Segoe UI"/>
                <w:b/>
                <w:color w:val="FFD700"/>
                <w:sz w:val="20"/>
              </w:rPr>
              <w:t>Legal Status</w:t>
            </w:r>
          </w:p>
        </w:tc>
      </w:tr>
      <w:tr>
        <w:tc>
          <w:tcPr>
            <w:tcW w:type="dxa" w:w="2520"/>
            <w:shd w:fill="FFFFFF"/>
            <w:tcMar>
              <w:top w:w="80" w:type="dxa"/>
              <w:bottom w:w="80" w:type="dxa"/>
              <w:left w:w="130" w:type="dxa"/>
              <w:right w:w="130" w:type="dxa"/>
            </w:tcMar>
          </w:tcPr>
          <w:p>
            <w:r>
              <w:rPr>
                <w:rFonts w:ascii="Segoe UI" w:hAnsi="Segoe UI"/>
                <w:color w:val="333333"/>
                <w:sz w:val="20"/>
              </w:rPr>
              <w:t>Silver Hive ₹999</w:t>
            </w:r>
          </w:p>
        </w:tc>
        <w:tc>
          <w:tcPr>
            <w:tcW w:type="dxa" w:w="2520"/>
            <w:shd w:fill="FFFFFF"/>
            <w:tcMar>
              <w:top w:w="80" w:type="dxa"/>
              <w:bottom w:w="80" w:type="dxa"/>
              <w:left w:w="130" w:type="dxa"/>
              <w:right w:w="130" w:type="dxa"/>
            </w:tcMar>
          </w:tcPr>
          <w:p>
            <w:r>
              <w:rPr>
                <w:rFonts w:ascii="Segoe UI" w:hAnsi="Segoe UI"/>
                <w:color w:val="333333"/>
                <w:sz w:val="20"/>
              </w:rPr>
              <w:t>Unlimited Veg Food + Beer/Vodka Tokens</w:t>
            </w:r>
          </w:p>
        </w:tc>
        <w:tc>
          <w:tcPr>
            <w:tcW w:type="dxa" w:w="2520"/>
            <w:shd w:fill="FFFFFF"/>
            <w:tcMar>
              <w:top w:w="80" w:type="dxa"/>
              <w:bottom w:w="80" w:type="dxa"/>
              <w:left w:w="130" w:type="dxa"/>
              <w:right w:w="130" w:type="dxa"/>
            </w:tcMar>
          </w:tcPr>
          <w:p>
            <w:r>
              <w:rPr>
                <w:rFonts w:ascii="Segoe UI" w:hAnsi="Segoe UI"/>
                <w:color w:val="333333"/>
                <w:sz w:val="20"/>
              </w:rPr>
              <w:t>4 Tokens</w:t>
            </w:r>
          </w:p>
        </w:tc>
        <w:tc>
          <w:tcPr>
            <w:tcW w:type="dxa" w:w="2520"/>
            <w:shd w:fill="FFFFFF"/>
            <w:tcMar>
              <w:top w:w="80" w:type="dxa"/>
              <w:bottom w:w="80" w:type="dxa"/>
              <w:left w:w="130" w:type="dxa"/>
              <w:right w:w="130" w:type="dxa"/>
            </w:tcMar>
          </w:tcPr>
          <w:p>
            <w:r>
              <w:rPr>
                <w:rFonts w:ascii="Segoe UI" w:hAnsi="Segoe UI"/>
                <w:color w:val="333333"/>
                <w:sz w:val="20"/>
              </w:rPr>
              <w:t>✅ Compliant</w:t>
            </w:r>
          </w:p>
        </w:tc>
      </w:tr>
      <w:tr>
        <w:tc>
          <w:tcPr>
            <w:tcW w:type="dxa" w:w="2520"/>
            <w:shd w:fill="F0F4F8"/>
            <w:tcMar>
              <w:top w:w="80" w:type="dxa"/>
              <w:bottom w:w="80" w:type="dxa"/>
              <w:left w:w="130" w:type="dxa"/>
              <w:right w:w="130" w:type="dxa"/>
            </w:tcMar>
          </w:tcPr>
          <w:p>
            <w:r>
              <w:rPr>
                <w:rFonts w:ascii="Segoe UI" w:hAnsi="Segoe UI"/>
                <w:color w:val="333333"/>
                <w:sz w:val="20"/>
              </w:rPr>
              <w:t>Gold Bee ₹1,499</w:t>
            </w:r>
          </w:p>
        </w:tc>
        <w:tc>
          <w:tcPr>
            <w:tcW w:type="dxa" w:w="2520"/>
            <w:shd w:fill="F0F4F8"/>
            <w:tcMar>
              <w:top w:w="80" w:type="dxa"/>
              <w:bottom w:w="80" w:type="dxa"/>
              <w:left w:w="130" w:type="dxa"/>
              <w:right w:w="130" w:type="dxa"/>
            </w:tcMar>
          </w:tcPr>
          <w:p>
            <w:r>
              <w:rPr>
                <w:rFonts w:ascii="Segoe UI" w:hAnsi="Segoe UI"/>
                <w:color w:val="333333"/>
                <w:sz w:val="20"/>
              </w:rPr>
              <w:t>Unlimited Food + Premium Spirit Tokens</w:t>
            </w:r>
          </w:p>
        </w:tc>
        <w:tc>
          <w:tcPr>
            <w:tcW w:type="dxa" w:w="2520"/>
            <w:shd w:fill="F0F4F8"/>
            <w:tcMar>
              <w:top w:w="80" w:type="dxa"/>
              <w:bottom w:w="80" w:type="dxa"/>
              <w:left w:w="130" w:type="dxa"/>
              <w:right w:w="130" w:type="dxa"/>
            </w:tcMar>
          </w:tcPr>
          <w:p>
            <w:r>
              <w:rPr>
                <w:rFonts w:ascii="Segoe UI" w:hAnsi="Segoe UI"/>
                <w:color w:val="333333"/>
                <w:sz w:val="20"/>
              </w:rPr>
              <w:t>6 Tokens</w:t>
            </w:r>
          </w:p>
        </w:tc>
        <w:tc>
          <w:tcPr>
            <w:tcW w:type="dxa" w:w="2520"/>
            <w:shd w:fill="F0F4F8"/>
            <w:tcMar>
              <w:top w:w="80" w:type="dxa"/>
              <w:bottom w:w="80" w:type="dxa"/>
              <w:left w:w="130" w:type="dxa"/>
              <w:right w:w="130" w:type="dxa"/>
            </w:tcMar>
          </w:tcPr>
          <w:p>
            <w:r>
              <w:rPr>
                <w:rFonts w:ascii="Segoe UI" w:hAnsi="Segoe UI"/>
                <w:color w:val="333333"/>
                <w:sz w:val="20"/>
              </w:rPr>
              <w:t>✅ Compliant</w:t>
            </w:r>
          </w:p>
        </w:tc>
      </w:tr>
      <w:tr>
        <w:tc>
          <w:tcPr>
            <w:tcW w:type="dxa" w:w="2520"/>
            <w:shd w:fill="FFFFFF"/>
            <w:tcMar>
              <w:top w:w="80" w:type="dxa"/>
              <w:bottom w:w="80" w:type="dxa"/>
              <w:left w:w="130" w:type="dxa"/>
              <w:right w:w="130" w:type="dxa"/>
            </w:tcMar>
          </w:tcPr>
          <w:p>
            <w:r>
              <w:rPr>
                <w:rFonts w:ascii="Segoe UI" w:hAnsi="Segoe UI"/>
                <w:color w:val="333333"/>
                <w:sz w:val="20"/>
              </w:rPr>
              <w:t>Platinum Royal ₹1,999</w:t>
            </w:r>
          </w:p>
        </w:tc>
        <w:tc>
          <w:tcPr>
            <w:tcW w:type="dxa" w:w="2520"/>
            <w:shd w:fill="FFFFFF"/>
            <w:tcMar>
              <w:top w:w="80" w:type="dxa"/>
              <w:bottom w:w="80" w:type="dxa"/>
              <w:left w:w="130" w:type="dxa"/>
              <w:right w:w="130" w:type="dxa"/>
            </w:tcMar>
          </w:tcPr>
          <w:p>
            <w:r>
              <w:rPr>
                <w:rFonts w:ascii="Segoe UI" w:hAnsi="Segoe UI"/>
                <w:color w:val="333333"/>
                <w:sz w:val="20"/>
              </w:rPr>
              <w:t>Unlimited Food + All-Spirit Tokens + BBQ</w:t>
            </w:r>
          </w:p>
        </w:tc>
        <w:tc>
          <w:tcPr>
            <w:tcW w:type="dxa" w:w="2520"/>
            <w:shd w:fill="FFFFFF"/>
            <w:tcMar>
              <w:top w:w="80" w:type="dxa"/>
              <w:bottom w:w="80" w:type="dxa"/>
              <w:left w:w="130" w:type="dxa"/>
              <w:right w:w="130" w:type="dxa"/>
            </w:tcMar>
          </w:tcPr>
          <w:p>
            <w:r>
              <w:rPr>
                <w:rFonts w:ascii="Segoe UI" w:hAnsi="Segoe UI"/>
                <w:color w:val="333333"/>
                <w:sz w:val="20"/>
              </w:rPr>
              <w:t>8 Tokens</w:t>
            </w:r>
          </w:p>
        </w:tc>
        <w:tc>
          <w:tcPr>
            <w:tcW w:type="dxa" w:w="2520"/>
            <w:shd w:fill="FFFFFF"/>
            <w:tcMar>
              <w:top w:w="80" w:type="dxa"/>
              <w:bottom w:w="80" w:type="dxa"/>
              <w:left w:w="130" w:type="dxa"/>
              <w:right w:w="130" w:type="dxa"/>
            </w:tcMar>
          </w:tcPr>
          <w:p>
            <w:r>
              <w:rPr>
                <w:rFonts w:ascii="Segoe UI" w:hAnsi="Segoe UI"/>
                <w:color w:val="333333"/>
                <w:sz w:val="20"/>
              </w:rPr>
              <w:t>✅ Compliant</w:t>
            </w:r>
          </w:p>
        </w:tc>
      </w:tr>
    </w:tbl>
    <w:p>
      <w:pPr>
        <w:spacing w:after="200"/>
      </w:pPr>
    </w:p>
    <w:p>
      <w:r>
        <w:br w:type="page"/>
      </w:r>
    </w:p>
    <w:p>
      <w:pPr>
        <w:spacing w:before="400" w:after="120"/>
      </w:pPr>
      <w:r>
        <w:rPr>
          <w:rFonts w:ascii="Georgia" w:hAnsi="Georgia"/>
          <w:b/>
          <w:color w:val="D4AF37"/>
          <w:sz w:val="30"/>
        </w:rPr>
        <w:t xml:space="preserve">§6  </w:t>
      </w:r>
      <w:r>
        <w:rPr>
          <w:rFonts w:ascii="Segoe UI" w:hAnsi="Segoe UI"/>
          <w:b/>
          <w:color w:val="111111"/>
          <w:sz w:val="30"/>
        </w:rPr>
        <w:t>REVISED UNIT ECONOMICS &amp; FINANCIAL PROJECTIONS</w:t>
      </w:r>
    </w:p>
    <w:p>
      <w:pPr>
        <w:spacing w:after="160" w:line="300" w:lineRule="auto"/>
      </w:pPr>
      <w:r>
        <w:rPr>
          <w:rFonts w:ascii="Georgia" w:hAnsi="Georgia"/>
          <w:color w:val="3C3C3C"/>
          <w:sz w:val="21"/>
        </w:rPr>
        <w:t>The original projections of ₹24.5 Lakh monthly net profit and 4.7-month payback are aggressively optimistic. A granular reconstruction using standard Maharashtra hospitality operating metrics reveals the true cost structure.</w:t>
      </w:r>
    </w:p>
    <w:p>
      <w:pPr>
        <w:jc w:val="center"/>
      </w:pPr>
      <w:r>
        <w:drawing>
          <wp:inline xmlns:a="http://schemas.openxmlformats.org/drawingml/2006/main" xmlns:pic="http://schemas.openxmlformats.org/drawingml/2006/picture">
            <wp:extent cx="5029200" cy="3404795"/>
            <wp:docPr id="5" name="Picture 5"/>
            <wp:cNvGraphicFramePr>
              <a:graphicFrameLocks noChangeAspect="1"/>
            </wp:cNvGraphicFramePr>
            <a:graphic>
              <a:graphicData uri="http://schemas.openxmlformats.org/drawingml/2006/picture">
                <pic:pic>
                  <pic:nvPicPr>
                    <pic:cNvPr id="0" name="bar_unit_economics.png"/>
                    <pic:cNvPicPr/>
                  </pic:nvPicPr>
                  <pic:blipFill>
                    <a:blip r:embed="rId13"/>
                    <a:stretch>
                      <a:fillRect/>
                    </a:stretch>
                  </pic:blipFill>
                  <pic:spPr>
                    <a:xfrm>
                      <a:off x="0" y="0"/>
                      <a:ext cx="5029200" cy="3404795"/>
                    </a:xfrm>
                    <a:prstGeom prst="rect"/>
                  </pic:spPr>
                </pic:pic>
              </a:graphicData>
            </a:graphic>
          </wp:inline>
        </w:drawing>
      </w:r>
    </w:p>
    <w:p>
      <w:pPr>
        <w:jc w:val="center"/>
      </w:pPr>
      <w:r>
        <w:rPr>
          <w:rFonts w:ascii="Georgia" w:hAnsi="Georgia"/>
          <w:i/>
          <w:color w:val="808080"/>
          <w:sz w:val="18"/>
        </w:rPr>
        <w:t>Fig. 4: Per-Guest Unit Economics — Original vs. Realistic Revised Projections</w:t>
      </w:r>
    </w:p>
    <w:p>
      <w:pPr>
        <w:spacing w:after="160"/>
      </w:pPr>
    </w:p>
    <w:p>
      <w:pPr>
        <w:jc w:val="center"/>
      </w:pPr>
      <w:r>
        <w:drawing>
          <wp:inline xmlns:a="http://schemas.openxmlformats.org/drawingml/2006/main" xmlns:pic="http://schemas.openxmlformats.org/drawingml/2006/picture">
            <wp:extent cx="5029200" cy="3728545"/>
            <wp:docPr id="6" name="Picture 6"/>
            <wp:cNvGraphicFramePr>
              <a:graphicFrameLocks noChangeAspect="1"/>
            </wp:cNvGraphicFramePr>
            <a:graphic>
              <a:graphicData uri="http://schemas.openxmlformats.org/drawingml/2006/picture">
                <pic:pic>
                  <pic:nvPicPr>
                    <pic:cNvPr id="0" name="pie_opex.png"/>
                    <pic:cNvPicPr/>
                  </pic:nvPicPr>
                  <pic:blipFill>
                    <a:blip r:embed="rId14"/>
                    <a:stretch>
                      <a:fillRect/>
                    </a:stretch>
                  </pic:blipFill>
                  <pic:spPr>
                    <a:xfrm>
                      <a:off x="0" y="0"/>
                      <a:ext cx="5029200" cy="3728545"/>
                    </a:xfrm>
                    <a:prstGeom prst="rect"/>
                  </pic:spPr>
                </pic:pic>
              </a:graphicData>
            </a:graphic>
          </wp:inline>
        </w:drawing>
      </w:r>
    </w:p>
    <w:p>
      <w:pPr>
        <w:jc w:val="center"/>
      </w:pPr>
      <w:r>
        <w:rPr>
          <w:rFonts w:ascii="Georgia" w:hAnsi="Georgia"/>
          <w:i/>
          <w:color w:val="808080"/>
          <w:sz w:val="18"/>
        </w:rPr>
        <w:t>Fig. 5: Revised Monthly OPEX Breakdown — ₹15.0 Lakh Per Outlet</w:t>
      </w:r>
    </w:p>
    <w:p>
      <w:pPr>
        <w:spacing w:after="160"/>
      </w:pPr>
    </w:p>
    <w:p>
      <w:pPr>
        <w:jc w:val="center"/>
      </w:pPr>
      <w:r>
        <w:drawing>
          <wp:inline xmlns:a="http://schemas.openxmlformats.org/drawingml/2006/main" xmlns:pic="http://schemas.openxmlformats.org/drawingml/2006/picture">
            <wp:extent cx="5029200" cy="3626986"/>
            <wp:docPr id="7" name="Picture 7"/>
            <wp:cNvGraphicFramePr>
              <a:graphicFrameLocks noChangeAspect="1"/>
            </wp:cNvGraphicFramePr>
            <a:graphic>
              <a:graphicData uri="http://schemas.openxmlformats.org/drawingml/2006/picture">
                <pic:pic>
                  <pic:nvPicPr>
                    <pic:cNvPr id="0" name="waterfall_pnl.png"/>
                    <pic:cNvPicPr/>
                  </pic:nvPicPr>
                  <pic:blipFill>
                    <a:blip r:embed="rId15"/>
                    <a:stretch>
                      <a:fillRect/>
                    </a:stretch>
                  </pic:blipFill>
                  <pic:spPr>
                    <a:xfrm>
                      <a:off x="0" y="0"/>
                      <a:ext cx="5029200" cy="3626986"/>
                    </a:xfrm>
                    <a:prstGeom prst="rect"/>
                  </pic:spPr>
                </pic:pic>
              </a:graphicData>
            </a:graphic>
          </wp:inline>
        </w:drawing>
      </w:r>
    </w:p>
    <w:p>
      <w:pPr>
        <w:jc w:val="center"/>
      </w:pPr>
      <w:r>
        <w:rPr>
          <w:rFonts w:ascii="Georgia" w:hAnsi="Georgia"/>
          <w:i/>
          <w:color w:val="808080"/>
          <w:sz w:val="18"/>
        </w:rPr>
        <w:t>Fig. 6: Revised Monthly P&amp;L Waterfall (Per Outlet)</w:t>
      </w:r>
    </w:p>
    <w:p>
      <w:pPr>
        <w:spacing w:after="160"/>
      </w:pP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3360"/>
        <w:gridCol w:w="3360"/>
        <w:gridCol w:w="3360"/>
      </w:tblGrid>
      <w:tr>
        <w:tc>
          <w:tcPr>
            <w:tcW w:type="dxa" w:w="3360"/>
            <w:shd w:fill="0A1628"/>
            <w:tcMar>
              <w:top w:w="100" w:type="dxa"/>
              <w:bottom w:w="100" w:type="dxa"/>
              <w:left w:w="130" w:type="dxa"/>
              <w:right w:w="130" w:type="dxa"/>
            </w:tcMar>
          </w:tcPr>
          <w:p>
            <w:r>
              <w:rPr>
                <w:rFonts w:ascii="Segoe UI" w:hAnsi="Segoe UI"/>
                <w:b/>
                <w:color w:val="FFD700"/>
                <w:sz w:val="20"/>
              </w:rPr>
              <w:t>P&amp;L Item</w:t>
            </w:r>
          </w:p>
        </w:tc>
        <w:tc>
          <w:tcPr>
            <w:tcW w:type="dxa" w:w="3360"/>
            <w:shd w:fill="0A1628"/>
            <w:tcMar>
              <w:top w:w="100" w:type="dxa"/>
              <w:bottom w:w="100" w:type="dxa"/>
              <w:left w:w="130" w:type="dxa"/>
              <w:right w:w="130" w:type="dxa"/>
            </w:tcMar>
          </w:tcPr>
          <w:p>
            <w:r>
              <w:rPr>
                <w:rFonts w:ascii="Segoe UI" w:hAnsi="Segoe UI"/>
                <w:b/>
                <w:color w:val="FFD700"/>
                <w:sz w:val="20"/>
              </w:rPr>
              <w:t>Original</w:t>
            </w:r>
          </w:p>
        </w:tc>
        <w:tc>
          <w:tcPr>
            <w:tcW w:type="dxa" w:w="3360"/>
            <w:shd w:fill="0A1628"/>
            <w:tcMar>
              <w:top w:w="100" w:type="dxa"/>
              <w:bottom w:w="100" w:type="dxa"/>
              <w:left w:w="130" w:type="dxa"/>
              <w:right w:w="130" w:type="dxa"/>
            </w:tcMar>
          </w:tcPr>
          <w:p>
            <w:r>
              <w:rPr>
                <w:rFonts w:ascii="Segoe UI" w:hAnsi="Segoe UI"/>
                <w:b/>
                <w:color w:val="FFD700"/>
                <w:sz w:val="20"/>
              </w:rPr>
              <w:t>Revised (Realistic)</w:t>
            </w:r>
          </w:p>
        </w:tc>
      </w:tr>
      <w:tr>
        <w:tc>
          <w:tcPr>
            <w:tcW w:type="dxa" w:w="3360"/>
            <w:shd w:fill="FFFFFF"/>
            <w:tcMar>
              <w:top w:w="80" w:type="dxa"/>
              <w:bottom w:w="80" w:type="dxa"/>
              <w:left w:w="130" w:type="dxa"/>
              <w:right w:w="130" w:type="dxa"/>
            </w:tcMar>
          </w:tcPr>
          <w:p>
            <w:r>
              <w:rPr>
                <w:rFonts w:ascii="Segoe UI" w:hAnsi="Segoe UI"/>
                <w:color w:val="333333"/>
                <w:sz w:val="20"/>
              </w:rPr>
              <w:t>Monthly Revenue</w:t>
            </w:r>
          </w:p>
        </w:tc>
        <w:tc>
          <w:tcPr>
            <w:tcW w:type="dxa" w:w="3360"/>
            <w:shd w:fill="FFFFFF"/>
            <w:tcMar>
              <w:top w:w="80" w:type="dxa"/>
              <w:bottom w:w="80" w:type="dxa"/>
              <w:left w:w="130" w:type="dxa"/>
              <w:right w:w="130" w:type="dxa"/>
            </w:tcMar>
          </w:tcPr>
          <w:p>
            <w:r>
              <w:rPr>
                <w:rFonts w:ascii="Segoe UI" w:hAnsi="Segoe UI"/>
                <w:color w:val="333333"/>
                <w:sz w:val="20"/>
              </w:rPr>
              <w:t>₹50.86 Lakh</w:t>
            </w:r>
          </w:p>
        </w:tc>
        <w:tc>
          <w:tcPr>
            <w:tcW w:type="dxa" w:w="3360"/>
            <w:shd w:fill="FFFFFF"/>
            <w:tcMar>
              <w:top w:w="80" w:type="dxa"/>
              <w:bottom w:w="80" w:type="dxa"/>
              <w:left w:w="130" w:type="dxa"/>
              <w:right w:w="130" w:type="dxa"/>
            </w:tcMar>
          </w:tcPr>
          <w:p>
            <w:r>
              <w:rPr>
                <w:rFonts w:ascii="Segoe UI" w:hAnsi="Segoe UI"/>
                <w:color w:val="333333"/>
                <w:sz w:val="20"/>
              </w:rPr>
              <w:t>₹50.86 Lakh</w:t>
            </w:r>
          </w:p>
        </w:tc>
      </w:tr>
      <w:tr>
        <w:tc>
          <w:tcPr>
            <w:tcW w:type="dxa" w:w="3360"/>
            <w:shd w:fill="F0F4F8"/>
            <w:tcMar>
              <w:top w:w="80" w:type="dxa"/>
              <w:bottom w:w="80" w:type="dxa"/>
              <w:left w:w="130" w:type="dxa"/>
              <w:right w:w="130" w:type="dxa"/>
            </w:tcMar>
          </w:tcPr>
          <w:p>
            <w:r>
              <w:rPr>
                <w:rFonts w:ascii="Segoe UI" w:hAnsi="Segoe UI"/>
                <w:color w:val="333333"/>
                <w:sz w:val="20"/>
              </w:rPr>
              <w:t>Gross Profit Margin</w:t>
            </w:r>
          </w:p>
        </w:tc>
        <w:tc>
          <w:tcPr>
            <w:tcW w:type="dxa" w:w="3360"/>
            <w:shd w:fill="F0F4F8"/>
            <w:tcMar>
              <w:top w:w="80" w:type="dxa"/>
              <w:bottom w:w="80" w:type="dxa"/>
              <w:left w:w="130" w:type="dxa"/>
              <w:right w:w="130" w:type="dxa"/>
            </w:tcMar>
          </w:tcPr>
          <w:p>
            <w:r>
              <w:rPr>
                <w:rFonts w:ascii="Segoe UI" w:hAnsi="Segoe UI"/>
                <w:color w:val="333333"/>
                <w:sz w:val="20"/>
              </w:rPr>
              <w:t>61%</w:t>
            </w:r>
          </w:p>
        </w:tc>
        <w:tc>
          <w:tcPr>
            <w:tcW w:type="dxa" w:w="3360"/>
            <w:shd w:fill="F0F4F8"/>
            <w:tcMar>
              <w:top w:w="80" w:type="dxa"/>
              <w:bottom w:w="80" w:type="dxa"/>
              <w:left w:w="130" w:type="dxa"/>
              <w:right w:w="130" w:type="dxa"/>
            </w:tcMar>
          </w:tcPr>
          <w:p>
            <w:r>
              <w:rPr>
                <w:rFonts w:ascii="Segoe UI" w:hAnsi="Segoe UI"/>
                <w:color w:val="333333"/>
                <w:sz w:val="20"/>
              </w:rPr>
              <w:t>50–55%</w:t>
            </w:r>
          </w:p>
        </w:tc>
      </w:tr>
      <w:tr>
        <w:tc>
          <w:tcPr>
            <w:tcW w:type="dxa" w:w="3360"/>
            <w:shd w:fill="FFFFFF"/>
            <w:tcMar>
              <w:top w:w="80" w:type="dxa"/>
              <w:bottom w:w="80" w:type="dxa"/>
              <w:left w:w="130" w:type="dxa"/>
              <w:right w:w="130" w:type="dxa"/>
            </w:tcMar>
          </w:tcPr>
          <w:p>
            <w:r>
              <w:rPr>
                <w:rFonts w:ascii="Segoe UI" w:hAnsi="Segoe UI"/>
                <w:color w:val="333333"/>
                <w:sz w:val="20"/>
              </w:rPr>
              <w:t>Monthly OPEX</w:t>
            </w:r>
          </w:p>
        </w:tc>
        <w:tc>
          <w:tcPr>
            <w:tcW w:type="dxa" w:w="3360"/>
            <w:shd w:fill="FFFFFF"/>
            <w:tcMar>
              <w:top w:w="80" w:type="dxa"/>
              <w:bottom w:w="80" w:type="dxa"/>
              <w:left w:w="130" w:type="dxa"/>
              <w:right w:w="130" w:type="dxa"/>
            </w:tcMar>
          </w:tcPr>
          <w:p>
            <w:r>
              <w:rPr>
                <w:rFonts w:ascii="Segoe UI" w:hAnsi="Segoe UI"/>
                <w:color w:val="333333"/>
                <w:sz w:val="20"/>
              </w:rPr>
              <w:t>₹6.44 Lakh</w:t>
            </w:r>
          </w:p>
        </w:tc>
        <w:tc>
          <w:tcPr>
            <w:tcW w:type="dxa" w:w="3360"/>
            <w:shd w:fill="FFFFFF"/>
            <w:tcMar>
              <w:top w:w="80" w:type="dxa"/>
              <w:bottom w:w="80" w:type="dxa"/>
              <w:left w:w="130" w:type="dxa"/>
              <w:right w:w="130" w:type="dxa"/>
            </w:tcMar>
          </w:tcPr>
          <w:p>
            <w:r>
              <w:rPr>
                <w:rFonts w:ascii="Segoe UI" w:hAnsi="Segoe UI"/>
                <w:color w:val="333333"/>
                <w:sz w:val="20"/>
              </w:rPr>
              <w:t>₹15.0 Lakh</w:t>
            </w:r>
          </w:p>
        </w:tc>
      </w:tr>
      <w:tr>
        <w:tc>
          <w:tcPr>
            <w:tcW w:type="dxa" w:w="3360"/>
            <w:shd w:fill="F0F4F8"/>
            <w:tcMar>
              <w:top w:w="80" w:type="dxa"/>
              <w:bottom w:w="80" w:type="dxa"/>
              <w:left w:w="130" w:type="dxa"/>
              <w:right w:w="130" w:type="dxa"/>
            </w:tcMar>
          </w:tcPr>
          <w:p>
            <w:r>
              <w:rPr>
                <w:rFonts w:ascii="Segoe UI" w:hAnsi="Segoe UI"/>
                <w:color w:val="333333"/>
                <w:sz w:val="20"/>
              </w:rPr>
              <w:t>Monthly Net Profit</w:t>
            </w:r>
          </w:p>
        </w:tc>
        <w:tc>
          <w:tcPr>
            <w:tcW w:type="dxa" w:w="3360"/>
            <w:shd w:fill="F0F4F8"/>
            <w:tcMar>
              <w:top w:w="80" w:type="dxa"/>
              <w:bottom w:w="80" w:type="dxa"/>
              <w:left w:w="130" w:type="dxa"/>
              <w:right w:w="130" w:type="dxa"/>
            </w:tcMar>
          </w:tcPr>
          <w:p>
            <w:r>
              <w:rPr>
                <w:rFonts w:ascii="Segoe UI" w:hAnsi="Segoe UI"/>
                <w:color w:val="333333"/>
                <w:sz w:val="20"/>
              </w:rPr>
              <w:t>₹24.50 Lakh</w:t>
            </w:r>
          </w:p>
        </w:tc>
        <w:tc>
          <w:tcPr>
            <w:tcW w:type="dxa" w:w="3360"/>
            <w:shd w:fill="F0F4F8"/>
            <w:tcMar>
              <w:top w:w="80" w:type="dxa"/>
              <w:bottom w:w="80" w:type="dxa"/>
              <w:left w:w="130" w:type="dxa"/>
              <w:right w:w="130" w:type="dxa"/>
            </w:tcMar>
          </w:tcPr>
          <w:p>
            <w:r>
              <w:rPr>
                <w:rFonts w:ascii="Segoe UI" w:hAnsi="Segoe UI"/>
                <w:color w:val="333333"/>
                <w:sz w:val="20"/>
              </w:rPr>
              <w:t>₹5.0–₹8.0 Lakh</w:t>
            </w:r>
          </w:p>
        </w:tc>
      </w:tr>
      <w:tr>
        <w:tc>
          <w:tcPr>
            <w:tcW w:type="dxa" w:w="3360"/>
            <w:shd w:fill="FFFFFF"/>
            <w:tcMar>
              <w:top w:w="80" w:type="dxa"/>
              <w:bottom w:w="80" w:type="dxa"/>
              <w:left w:w="130" w:type="dxa"/>
              <w:right w:w="130" w:type="dxa"/>
            </w:tcMar>
          </w:tcPr>
          <w:p>
            <w:r>
              <w:rPr>
                <w:rFonts w:ascii="Segoe UI" w:hAnsi="Segoe UI"/>
                <w:color w:val="333333"/>
                <w:sz w:val="20"/>
              </w:rPr>
              <w:t>Franchise Payback Period</w:t>
            </w:r>
          </w:p>
        </w:tc>
        <w:tc>
          <w:tcPr>
            <w:tcW w:type="dxa" w:w="3360"/>
            <w:shd w:fill="FFFFFF"/>
            <w:tcMar>
              <w:top w:w="80" w:type="dxa"/>
              <w:bottom w:w="80" w:type="dxa"/>
              <w:left w:w="130" w:type="dxa"/>
              <w:right w:w="130" w:type="dxa"/>
            </w:tcMar>
          </w:tcPr>
          <w:p>
            <w:r>
              <w:rPr>
                <w:rFonts w:ascii="Segoe UI" w:hAnsi="Segoe UI"/>
                <w:color w:val="333333"/>
                <w:sz w:val="20"/>
              </w:rPr>
              <w:t>4.7 Months</w:t>
            </w:r>
          </w:p>
        </w:tc>
        <w:tc>
          <w:tcPr>
            <w:tcW w:type="dxa" w:w="3360"/>
            <w:shd w:fill="FFFFFF"/>
            <w:tcMar>
              <w:top w:w="80" w:type="dxa"/>
              <w:bottom w:w="80" w:type="dxa"/>
              <w:left w:w="130" w:type="dxa"/>
              <w:right w:w="130" w:type="dxa"/>
            </w:tcMar>
          </w:tcPr>
          <w:p>
            <w:r>
              <w:rPr>
                <w:rFonts w:ascii="Segoe UI" w:hAnsi="Segoe UI"/>
                <w:color w:val="333333"/>
                <w:sz w:val="20"/>
              </w:rPr>
              <w:t>18–24 Months</w:t>
            </w:r>
          </w:p>
        </w:tc>
      </w:tr>
    </w:tbl>
    <w:p>
      <w:pPr>
        <w:spacing w:after="200"/>
      </w:pPr>
    </w:p>
    <w:p>
      <w:pPr>
        <w:jc w:val="center"/>
      </w:pPr>
      <w:r>
        <w:drawing>
          <wp:inline xmlns:a="http://schemas.openxmlformats.org/drawingml/2006/main" xmlns:pic="http://schemas.openxmlformats.org/drawingml/2006/picture">
            <wp:extent cx="5029200" cy="4204970"/>
            <wp:docPr id="8" name="Picture 8"/>
            <wp:cNvGraphicFramePr>
              <a:graphicFrameLocks noChangeAspect="1"/>
            </wp:cNvGraphicFramePr>
            <a:graphic>
              <a:graphicData uri="http://schemas.openxmlformats.org/drawingml/2006/picture">
                <pic:pic>
                  <pic:nvPicPr>
                    <pic:cNvPr id="0" name="bar_payback.png"/>
                    <pic:cNvPicPr/>
                  </pic:nvPicPr>
                  <pic:blipFill>
                    <a:blip r:embed="rId16"/>
                    <a:stretch>
                      <a:fillRect/>
                    </a:stretch>
                  </pic:blipFill>
                  <pic:spPr>
                    <a:xfrm>
                      <a:off x="0" y="0"/>
                      <a:ext cx="5029200" cy="4204970"/>
                    </a:xfrm>
                    <a:prstGeom prst="rect"/>
                  </pic:spPr>
                </pic:pic>
              </a:graphicData>
            </a:graphic>
          </wp:inline>
        </w:drawing>
      </w:r>
    </w:p>
    <w:p>
      <w:pPr>
        <w:jc w:val="center"/>
      </w:pPr>
      <w:r>
        <w:rPr>
          <w:rFonts w:ascii="Georgia" w:hAnsi="Georgia"/>
          <w:i/>
          <w:color w:val="808080"/>
          <w:sz w:val="18"/>
        </w:rPr>
        <w:t>Fig. 7: Franchise Payback Period — Original vs. Revised</w:t>
      </w:r>
    </w:p>
    <w:p>
      <w:pPr>
        <w:spacing w:after="160"/>
      </w:pPr>
    </w:p>
    <w:tbl>
      <w:tblPr>
        <w:tblW w:type="auto" w:w="0"/>
        <w:jc w:val="center"/>
        <w:tblLook w:firstColumn="1" w:firstRow="1" w:lastColumn="0" w:lastRow="0" w:noHBand="0" w:noVBand="1" w:val="04A0"/>
      </w:tblPr>
      <w:tblGrid>
        <w:gridCol w:w="10080"/>
      </w:tblGrid>
      <w:tr>
        <w:tc>
          <w:tcPr>
            <w:tcW w:type="dxa" w:w="10080"/>
            <w:shd w:fill="FBF9F1"/>
            <w:tcMar>
              <w:top w:w="180" w:type="dxa"/>
              <w:bottom w:w="180" w:type="dxa"/>
              <w:left w:w="250" w:type="dxa"/>
              <w:right w:w="250" w:type="dxa"/>
            </w:tcMar>
            <w:tcBorders>
              <w:left w:val="single" w:sz="36" w:space="0" w:color="D4AF37"/>
              <w:top w:val="none"/>
              <w:right w:val="none"/>
              <w:bottom w:val="none"/>
            </w:tcBorders>
          </w:tcPr>
          <w:p>
            <w:r>
              <w:rPr>
                <w:rFonts w:ascii="Segoe UI Semibold" w:hAnsi="Segoe UI Semibold"/>
                <w:color w:val="B8860B"/>
                <w:sz w:val="22"/>
              </w:rPr>
              <w:t>✦ KEY TAKEAWAY</w:t>
              <w:br/>
            </w:r>
            <w:r>
              <w:rPr>
                <w:rFonts w:ascii="Georgia" w:hAnsi="Georgia"/>
                <w:color w:val="222222"/>
                <w:sz w:val="21"/>
              </w:rPr>
              <w:t>While a 18-24 month payback remains excellent for the hospitality sector, transparent communication to franchisees is critical to prevent localized bankruptcies from severe initial undercapitalization.</w:t>
            </w:r>
          </w:p>
        </w:tc>
      </w:tr>
    </w:tbl>
    <w:p>
      <w:pPr>
        <w:spacing w:after="160"/>
      </w:pPr>
    </w:p>
    <w:p>
      <w:r>
        <w:br w:type="page"/>
      </w:r>
    </w:p>
    <w:p>
      <w:pPr>
        <w:spacing w:before="400" w:after="120"/>
      </w:pPr>
      <w:r>
        <w:rPr>
          <w:rFonts w:ascii="Georgia" w:hAnsi="Georgia"/>
          <w:b/>
          <w:color w:val="D4AF37"/>
          <w:sz w:val="30"/>
        </w:rPr>
        <w:t xml:space="preserve">§7  </w:t>
      </w:r>
      <w:r>
        <w:rPr>
          <w:rFonts w:ascii="Segoe UI" w:hAnsi="Segoe UI"/>
          <w:b/>
          <w:color w:val="111111"/>
          <w:sz w:val="30"/>
        </w:rPr>
        <w:t>FRANCHISE MODEL PIVOT: COFO → FOCO</w:t>
      </w:r>
    </w:p>
    <w:p>
      <w:pPr>
        <w:spacing w:after="160" w:line="300" w:lineRule="auto"/>
      </w:pPr>
      <w:r>
        <w:rPr>
          <w:rFonts w:ascii="Georgia" w:hAnsi="Georgia"/>
          <w:color w:val="3C3C3C"/>
          <w:sz w:val="21"/>
        </w:rPr>
        <w:t>The COFO model dictates the parent brand retains total ownership of physical assets, real estate, and infrastructure. This is exceedingly rare (&lt;1% of Indian franchise models) and financially impossible at ₹22 Crore capitalization for 367 outlets.</w:t>
      </w:r>
    </w:p>
    <w:p>
      <w:pPr>
        <w:spacing w:before="240" w:after="80"/>
      </w:pPr>
      <w:r>
        <w:rPr>
          <w:rFonts w:ascii="Segoe UI Semibold" w:hAnsi="Segoe UI Semibold"/>
          <w:color w:val="0A1628"/>
          <w:sz w:val="24"/>
        </w:rPr>
        <w:t>▸ The FOCO Solution</w:t>
      </w:r>
    </w:p>
    <w:p>
      <w:pPr>
        <w:spacing w:after="160" w:line="300" w:lineRule="auto"/>
      </w:pPr>
      <w:r>
        <w:rPr>
          <w:rFonts w:ascii="Georgia" w:hAnsi="Georgia"/>
          <w:color w:val="3C3C3C"/>
          <w:sz w:val="21"/>
        </w:rPr>
        <w:t>Under the Franchise Owned Company Operated (FOCO) framework, local franchise investors fund the ₹80 Lakh to ₹1.5 Crore capex. FeraBee retains total operational control, supply chain management, and brand quality assurance via management fees and gross profit sharing.</w:t>
      </w: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3360"/>
        <w:gridCol w:w="3360"/>
        <w:gridCol w:w="3360"/>
      </w:tblGrid>
      <w:tr>
        <w:tc>
          <w:tcPr>
            <w:tcW w:type="dxa" w:w="3360"/>
            <w:shd w:fill="0A1628"/>
            <w:tcMar>
              <w:top w:w="100" w:type="dxa"/>
              <w:bottom w:w="100" w:type="dxa"/>
              <w:left w:w="130" w:type="dxa"/>
              <w:right w:w="130" w:type="dxa"/>
            </w:tcMar>
          </w:tcPr>
          <w:p>
            <w:r>
              <w:rPr>
                <w:rFonts w:ascii="Segoe UI" w:hAnsi="Segoe UI"/>
                <w:b/>
                <w:color w:val="FFD700"/>
                <w:sz w:val="20"/>
              </w:rPr>
              <w:t>Dimension</w:t>
            </w:r>
          </w:p>
        </w:tc>
        <w:tc>
          <w:tcPr>
            <w:tcW w:type="dxa" w:w="3360"/>
            <w:shd w:fill="0A1628"/>
            <w:tcMar>
              <w:top w:w="100" w:type="dxa"/>
              <w:bottom w:w="100" w:type="dxa"/>
              <w:left w:w="130" w:type="dxa"/>
              <w:right w:w="130" w:type="dxa"/>
            </w:tcMar>
          </w:tcPr>
          <w:p>
            <w:r>
              <w:rPr>
                <w:rFonts w:ascii="Segoe UI" w:hAnsi="Segoe UI"/>
                <w:b/>
                <w:color w:val="FFD700"/>
                <w:sz w:val="20"/>
              </w:rPr>
              <w:t>COFO (Original)</w:t>
            </w:r>
          </w:p>
        </w:tc>
        <w:tc>
          <w:tcPr>
            <w:tcW w:type="dxa" w:w="3360"/>
            <w:shd w:fill="0A1628"/>
            <w:tcMar>
              <w:top w:w="100" w:type="dxa"/>
              <w:bottom w:w="100" w:type="dxa"/>
              <w:left w:w="130" w:type="dxa"/>
              <w:right w:w="130" w:type="dxa"/>
            </w:tcMar>
          </w:tcPr>
          <w:p>
            <w:r>
              <w:rPr>
                <w:rFonts w:ascii="Segoe UI" w:hAnsi="Segoe UI"/>
                <w:b/>
                <w:color w:val="FFD700"/>
                <w:sz w:val="20"/>
              </w:rPr>
              <w:t>FOCO (Recommended)</w:t>
            </w:r>
          </w:p>
        </w:tc>
      </w:tr>
      <w:tr>
        <w:tc>
          <w:tcPr>
            <w:tcW w:type="dxa" w:w="3360"/>
            <w:shd w:fill="FFFFFF"/>
            <w:tcMar>
              <w:top w:w="80" w:type="dxa"/>
              <w:bottom w:w="80" w:type="dxa"/>
              <w:left w:w="130" w:type="dxa"/>
              <w:right w:w="130" w:type="dxa"/>
            </w:tcMar>
          </w:tcPr>
          <w:p>
            <w:r>
              <w:rPr>
                <w:rFonts w:ascii="Segoe UI" w:hAnsi="Segoe UI"/>
                <w:color w:val="333333"/>
                <w:sz w:val="20"/>
              </w:rPr>
              <w:t>Who Owns Assets?</w:t>
            </w:r>
          </w:p>
        </w:tc>
        <w:tc>
          <w:tcPr>
            <w:tcW w:type="dxa" w:w="3360"/>
            <w:shd w:fill="FFFFFF"/>
            <w:tcMar>
              <w:top w:w="80" w:type="dxa"/>
              <w:bottom w:w="80" w:type="dxa"/>
              <w:left w:w="130" w:type="dxa"/>
              <w:right w:w="130" w:type="dxa"/>
            </w:tcMar>
          </w:tcPr>
          <w:p>
            <w:r>
              <w:rPr>
                <w:rFonts w:ascii="Segoe UI" w:hAnsi="Segoe UI"/>
                <w:color w:val="333333"/>
                <w:sz w:val="20"/>
              </w:rPr>
              <w:t>Brand (FeraBee)</w:t>
            </w:r>
          </w:p>
        </w:tc>
        <w:tc>
          <w:tcPr>
            <w:tcW w:type="dxa" w:w="3360"/>
            <w:shd w:fill="FFFFFF"/>
            <w:tcMar>
              <w:top w:w="80" w:type="dxa"/>
              <w:bottom w:w="80" w:type="dxa"/>
              <w:left w:w="130" w:type="dxa"/>
              <w:right w:w="130" w:type="dxa"/>
            </w:tcMar>
          </w:tcPr>
          <w:p>
            <w:r>
              <w:rPr>
                <w:rFonts w:ascii="Segoe UI" w:hAnsi="Segoe UI"/>
                <w:color w:val="333333"/>
                <w:sz w:val="20"/>
              </w:rPr>
              <w:t>Franchise Investor</w:t>
            </w:r>
          </w:p>
        </w:tc>
      </w:tr>
      <w:tr>
        <w:tc>
          <w:tcPr>
            <w:tcW w:type="dxa" w:w="3360"/>
            <w:shd w:fill="F0F4F8"/>
            <w:tcMar>
              <w:top w:w="80" w:type="dxa"/>
              <w:bottom w:w="80" w:type="dxa"/>
              <w:left w:w="130" w:type="dxa"/>
              <w:right w:w="130" w:type="dxa"/>
            </w:tcMar>
          </w:tcPr>
          <w:p>
            <w:r>
              <w:rPr>
                <w:rFonts w:ascii="Segoe UI" w:hAnsi="Segoe UI"/>
                <w:color w:val="333333"/>
                <w:sz w:val="20"/>
              </w:rPr>
              <w:t>Who Operates?</w:t>
            </w:r>
          </w:p>
        </w:tc>
        <w:tc>
          <w:tcPr>
            <w:tcW w:type="dxa" w:w="3360"/>
            <w:shd w:fill="F0F4F8"/>
            <w:tcMar>
              <w:top w:w="80" w:type="dxa"/>
              <w:bottom w:w="80" w:type="dxa"/>
              <w:left w:w="130" w:type="dxa"/>
              <w:right w:w="130" w:type="dxa"/>
            </w:tcMar>
          </w:tcPr>
          <w:p>
            <w:r>
              <w:rPr>
                <w:rFonts w:ascii="Segoe UI" w:hAnsi="Segoe UI"/>
                <w:color w:val="333333"/>
                <w:sz w:val="20"/>
              </w:rPr>
              <w:t>Franchise Partner</w:t>
            </w:r>
          </w:p>
        </w:tc>
        <w:tc>
          <w:tcPr>
            <w:tcW w:type="dxa" w:w="3360"/>
            <w:shd w:fill="F0F4F8"/>
            <w:tcMar>
              <w:top w:w="80" w:type="dxa"/>
              <w:bottom w:w="80" w:type="dxa"/>
              <w:left w:w="130" w:type="dxa"/>
              <w:right w:w="130" w:type="dxa"/>
            </w:tcMar>
          </w:tcPr>
          <w:p>
            <w:r>
              <w:rPr>
                <w:rFonts w:ascii="Segoe UI" w:hAnsi="Segoe UI"/>
                <w:color w:val="333333"/>
                <w:sz w:val="20"/>
              </w:rPr>
              <w:t>Brand (FeraBee)</w:t>
            </w:r>
          </w:p>
        </w:tc>
      </w:tr>
      <w:tr>
        <w:tc>
          <w:tcPr>
            <w:tcW w:type="dxa" w:w="3360"/>
            <w:shd w:fill="FFFFFF"/>
            <w:tcMar>
              <w:top w:w="80" w:type="dxa"/>
              <w:bottom w:w="80" w:type="dxa"/>
              <w:left w:w="130" w:type="dxa"/>
              <w:right w:w="130" w:type="dxa"/>
            </w:tcMar>
          </w:tcPr>
          <w:p>
            <w:r>
              <w:rPr>
                <w:rFonts w:ascii="Segoe UI" w:hAnsi="Segoe UI"/>
                <w:color w:val="333333"/>
                <w:sz w:val="20"/>
              </w:rPr>
              <w:t>Capex Required from Brand</w:t>
            </w:r>
          </w:p>
        </w:tc>
        <w:tc>
          <w:tcPr>
            <w:tcW w:type="dxa" w:w="3360"/>
            <w:shd w:fill="FFFFFF"/>
            <w:tcMar>
              <w:top w:w="80" w:type="dxa"/>
              <w:bottom w:w="80" w:type="dxa"/>
              <w:left w:w="130" w:type="dxa"/>
              <w:right w:w="130" w:type="dxa"/>
            </w:tcMar>
          </w:tcPr>
          <w:p>
            <w:r>
              <w:rPr>
                <w:rFonts w:ascii="Segoe UI" w:hAnsi="Segoe UI"/>
                <w:color w:val="333333"/>
                <w:sz w:val="20"/>
              </w:rPr>
              <w:t>₹220–₹440 Crore</w:t>
            </w:r>
          </w:p>
        </w:tc>
        <w:tc>
          <w:tcPr>
            <w:tcW w:type="dxa" w:w="3360"/>
            <w:shd w:fill="FFFFFF"/>
            <w:tcMar>
              <w:top w:w="80" w:type="dxa"/>
              <w:bottom w:w="80" w:type="dxa"/>
              <w:left w:w="130" w:type="dxa"/>
              <w:right w:w="130" w:type="dxa"/>
            </w:tcMar>
          </w:tcPr>
          <w:p>
            <w:r>
              <w:rPr>
                <w:rFonts w:ascii="Segoe UI" w:hAnsi="Segoe UI"/>
                <w:color w:val="333333"/>
                <w:sz w:val="20"/>
              </w:rPr>
              <w:t>₹22 Crore (Sufficient)</w:t>
            </w:r>
          </w:p>
        </w:tc>
      </w:tr>
      <w:tr>
        <w:tc>
          <w:tcPr>
            <w:tcW w:type="dxa" w:w="3360"/>
            <w:shd w:fill="F0F4F8"/>
            <w:tcMar>
              <w:top w:w="80" w:type="dxa"/>
              <w:bottom w:w="80" w:type="dxa"/>
              <w:left w:w="130" w:type="dxa"/>
              <w:right w:w="130" w:type="dxa"/>
            </w:tcMar>
          </w:tcPr>
          <w:p>
            <w:r>
              <w:rPr>
                <w:rFonts w:ascii="Segoe UI" w:hAnsi="Segoe UI"/>
                <w:color w:val="333333"/>
                <w:sz w:val="20"/>
              </w:rPr>
              <w:t>Quality Control</w:t>
            </w:r>
          </w:p>
        </w:tc>
        <w:tc>
          <w:tcPr>
            <w:tcW w:type="dxa" w:w="3360"/>
            <w:shd w:fill="F0F4F8"/>
            <w:tcMar>
              <w:top w:w="80" w:type="dxa"/>
              <w:bottom w:w="80" w:type="dxa"/>
              <w:left w:w="130" w:type="dxa"/>
              <w:right w:w="130" w:type="dxa"/>
            </w:tcMar>
          </w:tcPr>
          <w:p>
            <w:r>
              <w:rPr>
                <w:rFonts w:ascii="Segoe UI" w:hAnsi="Segoe UI"/>
                <w:color w:val="333333"/>
                <w:sz w:val="20"/>
              </w:rPr>
              <w:t>Low (Franchisee operates)</w:t>
            </w:r>
          </w:p>
        </w:tc>
        <w:tc>
          <w:tcPr>
            <w:tcW w:type="dxa" w:w="3360"/>
            <w:shd w:fill="F0F4F8"/>
            <w:tcMar>
              <w:top w:w="80" w:type="dxa"/>
              <w:bottom w:w="80" w:type="dxa"/>
              <w:left w:w="130" w:type="dxa"/>
              <w:right w:w="130" w:type="dxa"/>
            </w:tcMar>
          </w:tcPr>
          <w:p>
            <w:r>
              <w:rPr>
                <w:rFonts w:ascii="Segoe UI" w:hAnsi="Segoe UI"/>
                <w:color w:val="333333"/>
                <w:sz w:val="20"/>
              </w:rPr>
              <w:t>High (Brand operates)</w:t>
            </w:r>
          </w:p>
        </w:tc>
      </w:tr>
      <w:tr>
        <w:tc>
          <w:tcPr>
            <w:tcW w:type="dxa" w:w="3360"/>
            <w:shd w:fill="FFFFFF"/>
            <w:tcMar>
              <w:top w:w="80" w:type="dxa"/>
              <w:bottom w:w="80" w:type="dxa"/>
              <w:left w:w="130" w:type="dxa"/>
              <w:right w:w="130" w:type="dxa"/>
            </w:tcMar>
          </w:tcPr>
          <w:p>
            <w:r>
              <w:rPr>
                <w:rFonts w:ascii="Segoe UI" w:hAnsi="Segoe UI"/>
                <w:color w:val="333333"/>
                <w:sz w:val="20"/>
              </w:rPr>
              <w:t>Scalability</w:t>
            </w:r>
          </w:p>
        </w:tc>
        <w:tc>
          <w:tcPr>
            <w:tcW w:type="dxa" w:w="3360"/>
            <w:shd w:fill="FFFFFF"/>
            <w:tcMar>
              <w:top w:w="80" w:type="dxa"/>
              <w:bottom w:w="80" w:type="dxa"/>
              <w:left w:w="130" w:type="dxa"/>
              <w:right w:w="130" w:type="dxa"/>
            </w:tcMar>
          </w:tcPr>
          <w:p>
            <w:r>
              <w:rPr>
                <w:rFonts w:ascii="Segoe UI" w:hAnsi="Segoe UI"/>
                <w:color w:val="333333"/>
                <w:sz w:val="20"/>
              </w:rPr>
              <w:t>Impossible at current cap</w:t>
            </w:r>
          </w:p>
        </w:tc>
        <w:tc>
          <w:tcPr>
            <w:tcW w:type="dxa" w:w="3360"/>
            <w:shd w:fill="FFFFFF"/>
            <w:tcMar>
              <w:top w:w="80" w:type="dxa"/>
              <w:bottom w:w="80" w:type="dxa"/>
              <w:left w:w="130" w:type="dxa"/>
              <w:right w:w="130" w:type="dxa"/>
            </w:tcMar>
          </w:tcPr>
          <w:p>
            <w:r>
              <w:rPr>
                <w:rFonts w:ascii="Segoe UI" w:hAnsi="Segoe UI"/>
                <w:color w:val="333333"/>
                <w:sz w:val="20"/>
              </w:rPr>
              <w:t>Highly Scalable</w:t>
            </w:r>
          </w:p>
        </w:tc>
      </w:tr>
      <w:tr>
        <w:tc>
          <w:tcPr>
            <w:tcW w:type="dxa" w:w="3360"/>
            <w:shd w:fill="F0F4F8"/>
            <w:tcMar>
              <w:top w:w="80" w:type="dxa"/>
              <w:bottom w:w="80" w:type="dxa"/>
              <w:left w:w="130" w:type="dxa"/>
              <w:right w:w="130" w:type="dxa"/>
            </w:tcMar>
          </w:tcPr>
          <w:p>
            <w:r>
              <w:rPr>
                <w:rFonts w:ascii="Segoe UI" w:hAnsi="Segoe UI"/>
                <w:color w:val="333333"/>
                <w:sz w:val="20"/>
              </w:rPr>
              <w:t>Risk Profile</w:t>
            </w:r>
          </w:p>
        </w:tc>
        <w:tc>
          <w:tcPr>
            <w:tcW w:type="dxa" w:w="3360"/>
            <w:shd w:fill="F0F4F8"/>
            <w:tcMar>
              <w:top w:w="80" w:type="dxa"/>
              <w:bottom w:w="80" w:type="dxa"/>
              <w:left w:w="130" w:type="dxa"/>
              <w:right w:w="130" w:type="dxa"/>
            </w:tcMar>
          </w:tcPr>
          <w:p>
            <w:r>
              <w:rPr>
                <w:rFonts w:ascii="Segoe UI" w:hAnsi="Segoe UI"/>
                <w:color w:val="333333"/>
                <w:sz w:val="20"/>
              </w:rPr>
              <w:t>Catastrophic</w:t>
            </w:r>
          </w:p>
        </w:tc>
        <w:tc>
          <w:tcPr>
            <w:tcW w:type="dxa" w:w="3360"/>
            <w:shd w:fill="F0F4F8"/>
            <w:tcMar>
              <w:top w:w="80" w:type="dxa"/>
              <w:bottom w:w="80" w:type="dxa"/>
              <w:left w:w="130" w:type="dxa"/>
              <w:right w:w="130" w:type="dxa"/>
            </w:tcMar>
          </w:tcPr>
          <w:p>
            <w:r>
              <w:rPr>
                <w:rFonts w:ascii="Segoe UI" w:hAnsi="Segoe UI"/>
                <w:color w:val="333333"/>
                <w:sz w:val="20"/>
              </w:rPr>
              <w:t>Balanced</w:t>
            </w:r>
          </w:p>
        </w:tc>
      </w:tr>
    </w:tbl>
    <w:p>
      <w:pPr>
        <w:spacing w:after="200"/>
      </w:pPr>
    </w:p>
    <w:p>
      <w:r>
        <w:br w:type="page"/>
      </w:r>
    </w:p>
    <w:p>
      <w:pPr>
        <w:spacing w:before="400" w:after="120"/>
      </w:pPr>
      <w:r>
        <w:rPr>
          <w:rFonts w:ascii="Georgia" w:hAnsi="Georgia"/>
          <w:b/>
          <w:color w:val="D4AF37"/>
          <w:sz w:val="30"/>
        </w:rPr>
        <w:t xml:space="preserve">§8  </w:t>
      </w:r>
      <w:r>
        <w:rPr>
          <w:rFonts w:ascii="Segoe UI" w:hAnsi="Segoe UI"/>
          <w:b/>
          <w:color w:val="111111"/>
          <w:sz w:val="30"/>
        </w:rPr>
        <w:t>STRATEGIC REORIENTATION &amp; RECOMMENDATIONS</w:t>
      </w:r>
    </w:p>
    <w:p>
      <w:pPr>
        <w:spacing w:before="240" w:after="80"/>
      </w:pPr>
      <w:r>
        <w:rPr>
          <w:rFonts w:ascii="Segoe UI Semibold" w:hAnsi="Segoe UI Semibold"/>
          <w:color w:val="0A1628"/>
          <w:sz w:val="24"/>
        </w:rPr>
        <w:t>▸ 8.1 — Localize Manufacturing in Maharashtra</w:t>
      </w:r>
    </w:p>
    <w:p>
      <w:pPr>
        <w:spacing w:after="160" w:line="300" w:lineRule="auto"/>
      </w:pPr>
      <w:r>
        <w:rPr>
          <w:rFonts w:ascii="Georgia" w:hAnsi="Georgia"/>
          <w:color w:val="3C3C3C"/>
          <w:sz w:val="21"/>
        </w:rPr>
        <w:t>Utilize a portion of the ₹18 Crore equity raise to establish a tie-up manufacturing unit directly within Maharashtra. Procuring ENA locally and bottling within the state eliminates inter-state import friction entirely, ensuring continuous supply without bootlegging risk.</w:t>
      </w:r>
    </w:p>
    <w:p>
      <w:pPr>
        <w:spacing w:before="240" w:after="80"/>
      </w:pPr>
      <w:r>
        <w:rPr>
          <w:rFonts w:ascii="Segoe UI Semibold" w:hAnsi="Segoe UI Semibold"/>
          <w:color w:val="0A1628"/>
          <w:sz w:val="24"/>
        </w:rPr>
        <w:t>▸ 8.2 — Hyper-Dense Phased Geographic Rollout</w:t>
      </w:r>
    </w:p>
    <w:p>
      <w:pPr>
        <w:spacing w:after="160" w:line="300" w:lineRule="auto"/>
      </w:pPr>
      <w:r>
        <w:rPr>
          <w:rFonts w:ascii="Georgia" w:hAnsi="Georgia"/>
          <w:color w:val="3C3C3C"/>
          <w:sz w:val="21"/>
        </w:rPr>
        <w:t>Concentrate the initial 20 FOCO lounges within the Mumbai-Thane-Navi Mumbai corridor. This concentrates marketing spend, simplifies cold-chain logistics, and builds deep relationships with a single district's excise authorities before wider penetration.</w:t>
      </w:r>
    </w:p>
    <w:p>
      <w:pPr>
        <w:spacing w:before="240" w:after="80"/>
      </w:pPr>
      <w:r>
        <w:rPr>
          <w:rFonts w:ascii="Segoe UI Semibold" w:hAnsi="Segoe UI Semibold"/>
          <w:color w:val="0A1628"/>
          <w:sz w:val="24"/>
        </w:rPr>
        <w:t>▸ 8.3 — Recalibrate Franchisee Communication</w:t>
      </w:r>
    </w:p>
    <w:p>
      <w:pPr>
        <w:spacing w:after="160" w:line="300" w:lineRule="auto"/>
      </w:pPr>
      <w:r>
        <w:rPr>
          <w:rFonts w:ascii="Georgia" w:hAnsi="Georgia"/>
          <w:color w:val="3C3C3C"/>
          <w:sz w:val="21"/>
        </w:rPr>
        <w:t>Update all franchisee recruitment materials to reflect realistic ₹15.0 Lakh monthly OPEX and 18-24 month payback. This is still highly competitive and sufficient to attract sophisticated hospitality investors.</w:t>
      </w:r>
    </w:p>
    <w:p>
      <w:pPr>
        <w:jc w:val="center"/>
      </w:pPr>
      <w:r>
        <w:drawing>
          <wp:inline xmlns:a="http://schemas.openxmlformats.org/drawingml/2006/main" xmlns:pic="http://schemas.openxmlformats.org/drawingml/2006/picture">
            <wp:extent cx="5029200" cy="3309344"/>
            <wp:docPr id="9" name="Picture 9"/>
            <wp:cNvGraphicFramePr>
              <a:graphicFrameLocks noChangeAspect="1"/>
            </wp:cNvGraphicFramePr>
            <a:graphic>
              <a:graphicData uri="http://schemas.openxmlformats.org/drawingml/2006/picture">
                <pic:pic>
                  <pic:nvPicPr>
                    <pic:cNvPr id="0" name="line_revenue.png"/>
                    <pic:cNvPicPr/>
                  </pic:nvPicPr>
                  <pic:blipFill>
                    <a:blip r:embed="rId17"/>
                    <a:stretch>
                      <a:fillRect/>
                    </a:stretch>
                  </pic:blipFill>
                  <pic:spPr>
                    <a:xfrm>
                      <a:off x="0" y="0"/>
                      <a:ext cx="5029200" cy="3309344"/>
                    </a:xfrm>
                    <a:prstGeom prst="rect"/>
                  </pic:spPr>
                </pic:pic>
              </a:graphicData>
            </a:graphic>
          </wp:inline>
        </w:drawing>
      </w:r>
    </w:p>
    <w:p>
      <w:pPr>
        <w:jc w:val="center"/>
      </w:pPr>
      <w:r>
        <w:rPr>
          <w:rFonts w:ascii="Georgia" w:hAnsi="Georgia"/>
          <w:i/>
          <w:color w:val="808080"/>
          <w:sz w:val="18"/>
        </w:rPr>
        <w:t>Fig. 8: Revenue Growth Trajectory &amp; Outlet Expansion Plan (36 Months)</w:t>
      </w:r>
    </w:p>
    <w:p>
      <w:pPr>
        <w:spacing w:after="160"/>
      </w:pPr>
    </w:p>
    <w:p>
      <w:r>
        <w:br w:type="page"/>
      </w:r>
    </w:p>
    <w:p>
      <w:pPr>
        <w:spacing w:before="400" w:after="120"/>
      </w:pPr>
      <w:r>
        <w:rPr>
          <w:rFonts w:ascii="Georgia" w:hAnsi="Georgia"/>
          <w:b/>
          <w:color w:val="D4AF37"/>
          <w:sz w:val="30"/>
        </w:rPr>
        <w:t xml:space="preserve">§9  </w:t>
      </w:r>
      <w:r>
        <w:rPr>
          <w:rFonts w:ascii="Segoe UI" w:hAnsi="Segoe UI"/>
          <w:b/>
          <w:color w:val="111111"/>
          <w:sz w:val="30"/>
        </w:rPr>
        <w:t>PHASED GEOGRAPHIC ROLLOUT PLAN</w:t>
      </w: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2016"/>
        <w:gridCol w:w="2016"/>
        <w:gridCol w:w="2016"/>
        <w:gridCol w:w="2016"/>
        <w:gridCol w:w="2016"/>
      </w:tblGrid>
      <w:tr>
        <w:tc>
          <w:tcPr>
            <w:tcW w:type="dxa" w:w="2016"/>
            <w:shd w:fill="0A1628"/>
            <w:tcMar>
              <w:top w:w="100" w:type="dxa"/>
              <w:bottom w:w="100" w:type="dxa"/>
              <w:left w:w="130" w:type="dxa"/>
              <w:right w:w="130" w:type="dxa"/>
            </w:tcMar>
          </w:tcPr>
          <w:p>
            <w:r>
              <w:rPr>
                <w:rFonts w:ascii="Segoe UI" w:hAnsi="Segoe UI"/>
                <w:b/>
                <w:color w:val="FFD700"/>
                <w:sz w:val="20"/>
              </w:rPr>
              <w:t>Phase</w:t>
            </w:r>
          </w:p>
        </w:tc>
        <w:tc>
          <w:tcPr>
            <w:tcW w:type="dxa" w:w="2016"/>
            <w:shd w:fill="0A1628"/>
            <w:tcMar>
              <w:top w:w="100" w:type="dxa"/>
              <w:bottom w:w="100" w:type="dxa"/>
              <w:left w:w="130" w:type="dxa"/>
              <w:right w:w="130" w:type="dxa"/>
            </w:tcMar>
          </w:tcPr>
          <w:p>
            <w:r>
              <w:rPr>
                <w:rFonts w:ascii="Segoe UI" w:hAnsi="Segoe UI"/>
                <w:b/>
                <w:color w:val="FFD700"/>
                <w:sz w:val="20"/>
              </w:rPr>
              <w:t>Timeline</w:t>
            </w:r>
          </w:p>
        </w:tc>
        <w:tc>
          <w:tcPr>
            <w:tcW w:type="dxa" w:w="2016"/>
            <w:shd w:fill="0A1628"/>
            <w:tcMar>
              <w:top w:w="100" w:type="dxa"/>
              <w:bottom w:w="100" w:type="dxa"/>
              <w:left w:w="130" w:type="dxa"/>
              <w:right w:w="130" w:type="dxa"/>
            </w:tcMar>
          </w:tcPr>
          <w:p>
            <w:r>
              <w:rPr>
                <w:rFonts w:ascii="Segoe UI" w:hAnsi="Segoe UI"/>
                <w:b/>
                <w:color w:val="FFD700"/>
                <w:sz w:val="20"/>
              </w:rPr>
              <w:t>Region</w:t>
            </w:r>
          </w:p>
        </w:tc>
        <w:tc>
          <w:tcPr>
            <w:tcW w:type="dxa" w:w="2016"/>
            <w:shd w:fill="0A1628"/>
            <w:tcMar>
              <w:top w:w="100" w:type="dxa"/>
              <w:bottom w:w="100" w:type="dxa"/>
              <w:left w:w="130" w:type="dxa"/>
              <w:right w:w="130" w:type="dxa"/>
            </w:tcMar>
          </w:tcPr>
          <w:p>
            <w:r>
              <w:rPr>
                <w:rFonts w:ascii="Segoe UI" w:hAnsi="Segoe UI"/>
                <w:b/>
                <w:color w:val="FFD700"/>
                <w:sz w:val="20"/>
              </w:rPr>
              <w:t>Outlets</w:t>
            </w:r>
          </w:p>
        </w:tc>
        <w:tc>
          <w:tcPr>
            <w:tcW w:type="dxa" w:w="2016"/>
            <w:shd w:fill="0A1628"/>
            <w:tcMar>
              <w:top w:w="100" w:type="dxa"/>
              <w:bottom w:w="100" w:type="dxa"/>
              <w:left w:w="130" w:type="dxa"/>
              <w:right w:w="130" w:type="dxa"/>
            </w:tcMar>
          </w:tcPr>
          <w:p>
            <w:r>
              <w:rPr>
                <w:rFonts w:ascii="Segoe UI" w:hAnsi="Segoe UI"/>
                <w:b/>
                <w:color w:val="FFD700"/>
                <w:sz w:val="20"/>
              </w:rPr>
              <w:t>Milestone</w:t>
            </w:r>
          </w:p>
        </w:tc>
      </w:tr>
      <w:tr>
        <w:tc>
          <w:tcPr>
            <w:tcW w:type="dxa" w:w="2016"/>
            <w:shd w:fill="FFFFFF"/>
            <w:tcMar>
              <w:top w:w="80" w:type="dxa"/>
              <w:bottom w:w="80" w:type="dxa"/>
              <w:left w:w="130" w:type="dxa"/>
              <w:right w:w="130" w:type="dxa"/>
            </w:tcMar>
          </w:tcPr>
          <w:p>
            <w:r>
              <w:rPr>
                <w:rFonts w:ascii="Segoe UI" w:hAnsi="Segoe UI"/>
                <w:color w:val="333333"/>
                <w:sz w:val="20"/>
              </w:rPr>
              <w:t>Pilot</w:t>
            </w:r>
          </w:p>
        </w:tc>
        <w:tc>
          <w:tcPr>
            <w:tcW w:type="dxa" w:w="2016"/>
            <w:shd w:fill="FFFFFF"/>
            <w:tcMar>
              <w:top w:w="80" w:type="dxa"/>
              <w:bottom w:w="80" w:type="dxa"/>
              <w:left w:w="130" w:type="dxa"/>
              <w:right w:w="130" w:type="dxa"/>
            </w:tcMar>
          </w:tcPr>
          <w:p>
            <w:r>
              <w:rPr>
                <w:rFonts w:ascii="Segoe UI" w:hAnsi="Segoe UI"/>
                <w:color w:val="333333"/>
                <w:sz w:val="20"/>
              </w:rPr>
              <w:t>M1–M3</w:t>
            </w:r>
          </w:p>
        </w:tc>
        <w:tc>
          <w:tcPr>
            <w:tcW w:type="dxa" w:w="2016"/>
            <w:shd w:fill="FFFFFF"/>
            <w:tcMar>
              <w:top w:w="80" w:type="dxa"/>
              <w:bottom w:w="80" w:type="dxa"/>
              <w:left w:w="130" w:type="dxa"/>
              <w:right w:w="130" w:type="dxa"/>
            </w:tcMar>
          </w:tcPr>
          <w:p>
            <w:r>
              <w:rPr>
                <w:rFonts w:ascii="Segoe UI" w:hAnsi="Segoe UI"/>
                <w:color w:val="333333"/>
                <w:sz w:val="20"/>
              </w:rPr>
              <w:t>Mumbai (Andheri, BKC, Powai)</w:t>
            </w:r>
          </w:p>
        </w:tc>
        <w:tc>
          <w:tcPr>
            <w:tcW w:type="dxa" w:w="2016"/>
            <w:shd w:fill="FFFFFF"/>
            <w:tcMar>
              <w:top w:w="80" w:type="dxa"/>
              <w:bottom w:w="80" w:type="dxa"/>
              <w:left w:w="130" w:type="dxa"/>
              <w:right w:w="130" w:type="dxa"/>
            </w:tcMar>
          </w:tcPr>
          <w:p>
            <w:r>
              <w:rPr>
                <w:rFonts w:ascii="Segoe UI" w:hAnsi="Segoe UI"/>
                <w:color w:val="333333"/>
                <w:sz w:val="20"/>
              </w:rPr>
              <w:t>3 COCO</w:t>
            </w:r>
          </w:p>
        </w:tc>
        <w:tc>
          <w:tcPr>
            <w:tcW w:type="dxa" w:w="2016"/>
            <w:shd w:fill="FFFFFF"/>
            <w:tcMar>
              <w:top w:w="80" w:type="dxa"/>
              <w:bottom w:w="80" w:type="dxa"/>
              <w:left w:w="130" w:type="dxa"/>
              <w:right w:w="130" w:type="dxa"/>
            </w:tcMar>
          </w:tcPr>
          <w:p>
            <w:r>
              <w:rPr>
                <w:rFonts w:ascii="Segoe UI" w:hAnsi="Segoe UI"/>
                <w:color w:val="333333"/>
                <w:sz w:val="20"/>
              </w:rPr>
              <w:t>Prove unit economics</w:t>
            </w:r>
          </w:p>
        </w:tc>
      </w:tr>
      <w:tr>
        <w:tc>
          <w:tcPr>
            <w:tcW w:type="dxa" w:w="2016"/>
            <w:shd w:fill="F0F4F8"/>
            <w:tcMar>
              <w:top w:w="80" w:type="dxa"/>
              <w:bottom w:w="80" w:type="dxa"/>
              <w:left w:w="130" w:type="dxa"/>
              <w:right w:w="130" w:type="dxa"/>
            </w:tcMar>
          </w:tcPr>
          <w:p>
            <w:r>
              <w:rPr>
                <w:rFonts w:ascii="Segoe UI" w:hAnsi="Segoe UI"/>
                <w:color w:val="333333"/>
                <w:sz w:val="20"/>
              </w:rPr>
              <w:t>Phase 1</w:t>
            </w:r>
          </w:p>
        </w:tc>
        <w:tc>
          <w:tcPr>
            <w:tcW w:type="dxa" w:w="2016"/>
            <w:shd w:fill="F0F4F8"/>
            <w:tcMar>
              <w:top w:w="80" w:type="dxa"/>
              <w:bottom w:w="80" w:type="dxa"/>
              <w:left w:w="130" w:type="dxa"/>
              <w:right w:w="130" w:type="dxa"/>
            </w:tcMar>
          </w:tcPr>
          <w:p>
            <w:r>
              <w:rPr>
                <w:rFonts w:ascii="Segoe UI" w:hAnsi="Segoe UI"/>
                <w:color w:val="333333"/>
                <w:sz w:val="20"/>
              </w:rPr>
              <w:t>M4–M6</w:t>
            </w:r>
          </w:p>
        </w:tc>
        <w:tc>
          <w:tcPr>
            <w:tcW w:type="dxa" w:w="2016"/>
            <w:shd w:fill="F0F4F8"/>
            <w:tcMar>
              <w:top w:w="80" w:type="dxa"/>
              <w:bottom w:w="80" w:type="dxa"/>
              <w:left w:w="130" w:type="dxa"/>
              <w:right w:w="130" w:type="dxa"/>
            </w:tcMar>
          </w:tcPr>
          <w:p>
            <w:r>
              <w:rPr>
                <w:rFonts w:ascii="Segoe UI" w:hAnsi="Segoe UI"/>
                <w:color w:val="333333"/>
                <w:sz w:val="20"/>
              </w:rPr>
              <w:t>Mumbai-Thane-Navi Mumbai</w:t>
            </w:r>
          </w:p>
        </w:tc>
        <w:tc>
          <w:tcPr>
            <w:tcW w:type="dxa" w:w="2016"/>
            <w:shd w:fill="F0F4F8"/>
            <w:tcMar>
              <w:top w:w="80" w:type="dxa"/>
              <w:bottom w:w="80" w:type="dxa"/>
              <w:left w:w="130" w:type="dxa"/>
              <w:right w:w="130" w:type="dxa"/>
            </w:tcMar>
          </w:tcPr>
          <w:p>
            <w:r>
              <w:rPr>
                <w:rFonts w:ascii="Segoe UI" w:hAnsi="Segoe UI"/>
                <w:color w:val="333333"/>
                <w:sz w:val="20"/>
              </w:rPr>
              <w:t>20 FOCO</w:t>
            </w:r>
          </w:p>
        </w:tc>
        <w:tc>
          <w:tcPr>
            <w:tcW w:type="dxa" w:w="2016"/>
            <w:shd w:fill="F0F4F8"/>
            <w:tcMar>
              <w:top w:w="80" w:type="dxa"/>
              <w:bottom w:w="80" w:type="dxa"/>
              <w:left w:w="130" w:type="dxa"/>
              <w:right w:w="130" w:type="dxa"/>
            </w:tcMar>
          </w:tcPr>
          <w:p>
            <w:r>
              <w:rPr>
                <w:rFonts w:ascii="Segoe UI" w:hAnsi="Segoe UI"/>
                <w:color w:val="333333"/>
                <w:sz w:val="20"/>
              </w:rPr>
              <w:t>₹10 Cr/month revenue</w:t>
            </w:r>
          </w:p>
        </w:tc>
      </w:tr>
      <w:tr>
        <w:tc>
          <w:tcPr>
            <w:tcW w:type="dxa" w:w="2016"/>
            <w:shd w:fill="FFFFFF"/>
            <w:tcMar>
              <w:top w:w="80" w:type="dxa"/>
              <w:bottom w:w="80" w:type="dxa"/>
              <w:left w:w="130" w:type="dxa"/>
              <w:right w:w="130" w:type="dxa"/>
            </w:tcMar>
          </w:tcPr>
          <w:p>
            <w:r>
              <w:rPr>
                <w:rFonts w:ascii="Segoe UI" w:hAnsi="Segoe UI"/>
                <w:color w:val="333333"/>
                <w:sz w:val="20"/>
              </w:rPr>
              <w:t>Phase 2</w:t>
            </w:r>
          </w:p>
        </w:tc>
        <w:tc>
          <w:tcPr>
            <w:tcW w:type="dxa" w:w="2016"/>
            <w:shd w:fill="FFFFFF"/>
            <w:tcMar>
              <w:top w:w="80" w:type="dxa"/>
              <w:bottom w:w="80" w:type="dxa"/>
              <w:left w:w="130" w:type="dxa"/>
              <w:right w:w="130" w:type="dxa"/>
            </w:tcMar>
          </w:tcPr>
          <w:p>
            <w:r>
              <w:rPr>
                <w:rFonts w:ascii="Segoe UI" w:hAnsi="Segoe UI"/>
                <w:color w:val="333333"/>
                <w:sz w:val="20"/>
              </w:rPr>
              <w:t>M7–M12</w:t>
            </w:r>
          </w:p>
        </w:tc>
        <w:tc>
          <w:tcPr>
            <w:tcW w:type="dxa" w:w="2016"/>
            <w:shd w:fill="FFFFFF"/>
            <w:tcMar>
              <w:top w:w="80" w:type="dxa"/>
              <w:bottom w:w="80" w:type="dxa"/>
              <w:left w:w="130" w:type="dxa"/>
              <w:right w:w="130" w:type="dxa"/>
            </w:tcMar>
          </w:tcPr>
          <w:p>
            <w:r>
              <w:rPr>
                <w:rFonts w:ascii="Segoe UI" w:hAnsi="Segoe UI"/>
                <w:color w:val="333333"/>
                <w:sz w:val="20"/>
              </w:rPr>
              <w:t>Pune, Nashik, Nagpur</w:t>
            </w:r>
          </w:p>
        </w:tc>
        <w:tc>
          <w:tcPr>
            <w:tcW w:type="dxa" w:w="2016"/>
            <w:shd w:fill="FFFFFF"/>
            <w:tcMar>
              <w:top w:w="80" w:type="dxa"/>
              <w:bottom w:w="80" w:type="dxa"/>
              <w:left w:w="130" w:type="dxa"/>
              <w:right w:w="130" w:type="dxa"/>
            </w:tcMar>
          </w:tcPr>
          <w:p>
            <w:r>
              <w:rPr>
                <w:rFonts w:ascii="Segoe UI" w:hAnsi="Segoe UI"/>
                <w:color w:val="333333"/>
                <w:sz w:val="20"/>
              </w:rPr>
              <w:t>60 Total</w:t>
            </w:r>
          </w:p>
        </w:tc>
        <w:tc>
          <w:tcPr>
            <w:tcW w:type="dxa" w:w="2016"/>
            <w:shd w:fill="FFFFFF"/>
            <w:tcMar>
              <w:top w:w="80" w:type="dxa"/>
              <w:bottom w:w="80" w:type="dxa"/>
              <w:left w:w="130" w:type="dxa"/>
              <w:right w:w="130" w:type="dxa"/>
            </w:tcMar>
          </w:tcPr>
          <w:p>
            <w:r>
              <w:rPr>
                <w:rFonts w:ascii="Segoe UI" w:hAnsi="Segoe UI"/>
                <w:color w:val="333333"/>
                <w:sz w:val="20"/>
              </w:rPr>
              <w:t>₹30 Cr/month revenue</w:t>
            </w:r>
          </w:p>
        </w:tc>
      </w:tr>
      <w:tr>
        <w:tc>
          <w:tcPr>
            <w:tcW w:type="dxa" w:w="2016"/>
            <w:shd w:fill="F0F4F8"/>
            <w:tcMar>
              <w:top w:w="80" w:type="dxa"/>
              <w:bottom w:w="80" w:type="dxa"/>
              <w:left w:w="130" w:type="dxa"/>
              <w:right w:w="130" w:type="dxa"/>
            </w:tcMar>
          </w:tcPr>
          <w:p>
            <w:r>
              <w:rPr>
                <w:rFonts w:ascii="Segoe UI" w:hAnsi="Segoe UI"/>
                <w:color w:val="333333"/>
                <w:sz w:val="20"/>
              </w:rPr>
              <w:t>Phase 3</w:t>
            </w:r>
          </w:p>
        </w:tc>
        <w:tc>
          <w:tcPr>
            <w:tcW w:type="dxa" w:w="2016"/>
            <w:shd w:fill="F0F4F8"/>
            <w:tcMar>
              <w:top w:w="80" w:type="dxa"/>
              <w:bottom w:w="80" w:type="dxa"/>
              <w:left w:w="130" w:type="dxa"/>
              <w:right w:w="130" w:type="dxa"/>
            </w:tcMar>
          </w:tcPr>
          <w:p>
            <w:r>
              <w:rPr>
                <w:rFonts w:ascii="Segoe UI" w:hAnsi="Segoe UI"/>
                <w:color w:val="333333"/>
                <w:sz w:val="20"/>
              </w:rPr>
              <w:t>M13–M24</w:t>
            </w:r>
          </w:p>
        </w:tc>
        <w:tc>
          <w:tcPr>
            <w:tcW w:type="dxa" w:w="2016"/>
            <w:shd w:fill="F0F4F8"/>
            <w:tcMar>
              <w:top w:w="80" w:type="dxa"/>
              <w:bottom w:w="80" w:type="dxa"/>
              <w:left w:w="130" w:type="dxa"/>
              <w:right w:w="130" w:type="dxa"/>
            </w:tcMar>
          </w:tcPr>
          <w:p>
            <w:r>
              <w:rPr>
                <w:rFonts w:ascii="Segoe UI" w:hAnsi="Segoe UI"/>
                <w:color w:val="333333"/>
                <w:sz w:val="20"/>
              </w:rPr>
              <w:t>Deep Maharashtra + Goa</w:t>
            </w:r>
          </w:p>
        </w:tc>
        <w:tc>
          <w:tcPr>
            <w:tcW w:type="dxa" w:w="2016"/>
            <w:shd w:fill="F0F4F8"/>
            <w:tcMar>
              <w:top w:w="80" w:type="dxa"/>
              <w:bottom w:w="80" w:type="dxa"/>
              <w:left w:w="130" w:type="dxa"/>
              <w:right w:w="130" w:type="dxa"/>
            </w:tcMar>
          </w:tcPr>
          <w:p>
            <w:r>
              <w:rPr>
                <w:rFonts w:ascii="Segoe UI" w:hAnsi="Segoe UI"/>
                <w:color w:val="333333"/>
                <w:sz w:val="20"/>
              </w:rPr>
              <w:t>200 Total</w:t>
            </w:r>
          </w:p>
        </w:tc>
        <w:tc>
          <w:tcPr>
            <w:tcW w:type="dxa" w:w="2016"/>
            <w:shd w:fill="F0F4F8"/>
            <w:tcMar>
              <w:top w:w="80" w:type="dxa"/>
              <w:bottom w:w="80" w:type="dxa"/>
              <w:left w:w="130" w:type="dxa"/>
              <w:right w:w="130" w:type="dxa"/>
            </w:tcMar>
          </w:tcPr>
          <w:p>
            <w:r>
              <w:rPr>
                <w:rFonts w:ascii="Segoe UI" w:hAnsi="Segoe UI"/>
                <w:color w:val="333333"/>
                <w:sz w:val="20"/>
              </w:rPr>
              <w:t>₹100 Cr/month revenue</w:t>
            </w:r>
          </w:p>
        </w:tc>
      </w:tr>
      <w:tr>
        <w:tc>
          <w:tcPr>
            <w:tcW w:type="dxa" w:w="2016"/>
            <w:shd w:fill="FFFFFF"/>
            <w:tcMar>
              <w:top w:w="80" w:type="dxa"/>
              <w:bottom w:w="80" w:type="dxa"/>
              <w:left w:w="130" w:type="dxa"/>
              <w:right w:w="130" w:type="dxa"/>
            </w:tcMar>
          </w:tcPr>
          <w:p>
            <w:r>
              <w:rPr>
                <w:rFonts w:ascii="Segoe UI" w:hAnsi="Segoe UI"/>
                <w:color w:val="333333"/>
                <w:sz w:val="20"/>
              </w:rPr>
              <w:t>Phase 4</w:t>
            </w:r>
          </w:p>
        </w:tc>
        <w:tc>
          <w:tcPr>
            <w:tcW w:type="dxa" w:w="2016"/>
            <w:shd w:fill="FFFFFF"/>
            <w:tcMar>
              <w:top w:w="80" w:type="dxa"/>
              <w:bottom w:w="80" w:type="dxa"/>
              <w:left w:w="130" w:type="dxa"/>
              <w:right w:w="130" w:type="dxa"/>
            </w:tcMar>
          </w:tcPr>
          <w:p>
            <w:r>
              <w:rPr>
                <w:rFonts w:ascii="Segoe UI" w:hAnsi="Segoe UI"/>
                <w:color w:val="333333"/>
                <w:sz w:val="20"/>
              </w:rPr>
              <w:t>M25–M36</w:t>
            </w:r>
          </w:p>
        </w:tc>
        <w:tc>
          <w:tcPr>
            <w:tcW w:type="dxa" w:w="2016"/>
            <w:shd w:fill="FFFFFF"/>
            <w:tcMar>
              <w:top w:w="80" w:type="dxa"/>
              <w:bottom w:w="80" w:type="dxa"/>
              <w:left w:w="130" w:type="dxa"/>
              <w:right w:w="130" w:type="dxa"/>
            </w:tcMar>
          </w:tcPr>
          <w:p>
            <w:r>
              <w:rPr>
                <w:rFonts w:ascii="Segoe UI" w:hAnsi="Segoe UI"/>
                <w:color w:val="333333"/>
                <w:sz w:val="20"/>
              </w:rPr>
              <w:t>Full 367 Taluka Coverage</w:t>
            </w:r>
          </w:p>
        </w:tc>
        <w:tc>
          <w:tcPr>
            <w:tcW w:type="dxa" w:w="2016"/>
            <w:shd w:fill="FFFFFF"/>
            <w:tcMar>
              <w:top w:w="80" w:type="dxa"/>
              <w:bottom w:w="80" w:type="dxa"/>
              <w:left w:w="130" w:type="dxa"/>
              <w:right w:w="130" w:type="dxa"/>
            </w:tcMar>
          </w:tcPr>
          <w:p>
            <w:r>
              <w:rPr>
                <w:rFonts w:ascii="Segoe UI" w:hAnsi="Segoe UI"/>
                <w:color w:val="333333"/>
                <w:sz w:val="20"/>
              </w:rPr>
              <w:t>367 Total</w:t>
            </w:r>
          </w:p>
        </w:tc>
        <w:tc>
          <w:tcPr>
            <w:tcW w:type="dxa" w:w="2016"/>
            <w:shd w:fill="FFFFFF"/>
            <w:tcMar>
              <w:top w:w="80" w:type="dxa"/>
              <w:bottom w:w="80" w:type="dxa"/>
              <w:left w:w="130" w:type="dxa"/>
              <w:right w:w="130" w:type="dxa"/>
            </w:tcMar>
          </w:tcPr>
          <w:p>
            <w:r>
              <w:rPr>
                <w:rFonts w:ascii="Segoe UI" w:hAnsi="Segoe UI"/>
                <w:color w:val="333333"/>
                <w:sz w:val="20"/>
              </w:rPr>
              <w:t>₹186 Cr/month revenue</w:t>
            </w:r>
          </w:p>
        </w:tc>
      </w:tr>
    </w:tbl>
    <w:p>
      <w:pPr>
        <w:spacing w:after="200"/>
      </w:pPr>
    </w:p>
    <w:p>
      <w:r>
        <w:br w:type="page"/>
      </w:r>
    </w:p>
    <w:p>
      <w:pPr>
        <w:spacing w:before="400" w:after="120"/>
      </w:pPr>
      <w:r>
        <w:rPr>
          <w:rFonts w:ascii="Georgia" w:hAnsi="Georgia"/>
          <w:b/>
          <w:color w:val="D4AF37"/>
          <w:sz w:val="30"/>
        </w:rPr>
        <w:t xml:space="preserve">§10  </w:t>
      </w:r>
      <w:r>
        <w:rPr>
          <w:rFonts w:ascii="Segoe UI" w:hAnsi="Segoe UI"/>
          <w:b/>
          <w:color w:val="111111"/>
          <w:sz w:val="30"/>
        </w:rPr>
        <w:t>RISK MATRIX &amp; MITIGATION FRAMEWORK</w:t>
      </w: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2520"/>
        <w:gridCol w:w="2520"/>
        <w:gridCol w:w="2520"/>
        <w:gridCol w:w="2520"/>
      </w:tblGrid>
      <w:tr>
        <w:tc>
          <w:tcPr>
            <w:tcW w:type="dxa" w:w="2520"/>
            <w:shd w:fill="0A1628"/>
            <w:tcMar>
              <w:top w:w="100" w:type="dxa"/>
              <w:bottom w:w="100" w:type="dxa"/>
              <w:left w:w="130" w:type="dxa"/>
              <w:right w:w="130" w:type="dxa"/>
            </w:tcMar>
          </w:tcPr>
          <w:p>
            <w:r>
              <w:rPr>
                <w:rFonts w:ascii="Segoe UI" w:hAnsi="Segoe UI"/>
                <w:b/>
                <w:color w:val="FFD700"/>
                <w:sz w:val="20"/>
              </w:rPr>
              <w:t>Risk Category</w:t>
            </w:r>
          </w:p>
        </w:tc>
        <w:tc>
          <w:tcPr>
            <w:tcW w:type="dxa" w:w="2520"/>
            <w:shd w:fill="0A1628"/>
            <w:tcMar>
              <w:top w:w="100" w:type="dxa"/>
              <w:bottom w:w="100" w:type="dxa"/>
              <w:left w:w="130" w:type="dxa"/>
              <w:right w:w="130" w:type="dxa"/>
            </w:tcMar>
          </w:tcPr>
          <w:p>
            <w:r>
              <w:rPr>
                <w:rFonts w:ascii="Segoe UI" w:hAnsi="Segoe UI"/>
                <w:b/>
                <w:color w:val="FFD700"/>
                <w:sz w:val="20"/>
              </w:rPr>
              <w:t>Severity</w:t>
            </w:r>
          </w:p>
        </w:tc>
        <w:tc>
          <w:tcPr>
            <w:tcW w:type="dxa" w:w="2520"/>
            <w:shd w:fill="0A1628"/>
            <w:tcMar>
              <w:top w:w="100" w:type="dxa"/>
              <w:bottom w:w="100" w:type="dxa"/>
              <w:left w:w="130" w:type="dxa"/>
              <w:right w:w="130" w:type="dxa"/>
            </w:tcMar>
          </w:tcPr>
          <w:p>
            <w:r>
              <w:rPr>
                <w:rFonts w:ascii="Segoe UI" w:hAnsi="Segoe UI"/>
                <w:b/>
                <w:color w:val="FFD700"/>
                <w:sz w:val="20"/>
              </w:rPr>
              <w:t>Probability</w:t>
            </w:r>
          </w:p>
        </w:tc>
        <w:tc>
          <w:tcPr>
            <w:tcW w:type="dxa" w:w="2520"/>
            <w:shd w:fill="0A1628"/>
            <w:tcMar>
              <w:top w:w="100" w:type="dxa"/>
              <w:bottom w:w="100" w:type="dxa"/>
              <w:left w:w="130" w:type="dxa"/>
              <w:right w:w="130" w:type="dxa"/>
            </w:tcMar>
          </w:tcPr>
          <w:p>
            <w:r>
              <w:rPr>
                <w:rFonts w:ascii="Segoe UI" w:hAnsi="Segoe UI"/>
                <w:b/>
                <w:color w:val="FFD700"/>
                <w:sz w:val="20"/>
              </w:rPr>
              <w:t>Mitigation Strategy</w:t>
            </w:r>
          </w:p>
        </w:tc>
      </w:tr>
      <w:tr>
        <w:tc>
          <w:tcPr>
            <w:tcW w:type="dxa" w:w="2520"/>
            <w:shd w:fill="FFFFFF"/>
            <w:tcMar>
              <w:top w:w="80" w:type="dxa"/>
              <w:bottom w:w="80" w:type="dxa"/>
              <w:left w:w="130" w:type="dxa"/>
              <w:right w:w="130" w:type="dxa"/>
            </w:tcMar>
          </w:tcPr>
          <w:p>
            <w:r>
              <w:rPr>
                <w:rFonts w:ascii="Segoe UI" w:hAnsi="Segoe UI"/>
                <w:color w:val="333333"/>
                <w:sz w:val="20"/>
              </w:rPr>
              <w:t>Maharashtra Prohibition Act violation</w:t>
            </w:r>
          </w:p>
        </w:tc>
        <w:tc>
          <w:tcPr>
            <w:tcW w:type="dxa" w:w="2520"/>
            <w:shd w:fill="FFFFFF"/>
            <w:tcMar>
              <w:top w:w="80" w:type="dxa"/>
              <w:bottom w:w="80" w:type="dxa"/>
              <w:left w:w="130" w:type="dxa"/>
              <w:right w:w="130" w:type="dxa"/>
            </w:tcMar>
          </w:tcPr>
          <w:p>
            <w:r>
              <w:rPr>
                <w:rFonts w:ascii="Segoe UI" w:hAnsi="Segoe UI"/>
                <w:color w:val="333333"/>
                <w:sz w:val="20"/>
              </w:rPr>
              <w:t>CRITICAL</w:t>
            </w:r>
          </w:p>
        </w:tc>
        <w:tc>
          <w:tcPr>
            <w:tcW w:type="dxa" w:w="2520"/>
            <w:shd w:fill="FFFFFF"/>
            <w:tcMar>
              <w:top w:w="80" w:type="dxa"/>
              <w:bottom w:w="80" w:type="dxa"/>
              <w:left w:w="130" w:type="dxa"/>
              <w:right w:w="130" w:type="dxa"/>
            </w:tcMar>
          </w:tcPr>
          <w:p>
            <w:r>
              <w:rPr>
                <w:rFonts w:ascii="Segoe UI" w:hAnsi="Segoe UI"/>
                <w:color w:val="333333"/>
                <w:sz w:val="20"/>
              </w:rPr>
              <w:t>HIGH</w:t>
            </w:r>
          </w:p>
        </w:tc>
        <w:tc>
          <w:tcPr>
            <w:tcW w:type="dxa" w:w="2520"/>
            <w:shd w:fill="FFFFFF"/>
            <w:tcMar>
              <w:top w:w="80" w:type="dxa"/>
              <w:bottom w:w="80" w:type="dxa"/>
              <w:left w:w="130" w:type="dxa"/>
              <w:right w:w="130" w:type="dxa"/>
            </w:tcMar>
          </w:tcPr>
          <w:p>
            <w:r>
              <w:rPr>
                <w:rFonts w:ascii="Segoe UI" w:hAnsi="Segoe UI"/>
                <w:color w:val="333333"/>
                <w:sz w:val="20"/>
              </w:rPr>
              <w:t>Abandon 'Unlimited' model; implement Token System</w:t>
            </w:r>
          </w:p>
        </w:tc>
      </w:tr>
      <w:tr>
        <w:tc>
          <w:tcPr>
            <w:tcW w:type="dxa" w:w="2520"/>
            <w:shd w:fill="F0F4F8"/>
            <w:tcMar>
              <w:top w:w="80" w:type="dxa"/>
              <w:bottom w:w="80" w:type="dxa"/>
              <w:left w:w="130" w:type="dxa"/>
              <w:right w:w="130" w:type="dxa"/>
            </w:tcMar>
          </w:tcPr>
          <w:p>
            <w:r>
              <w:rPr>
                <w:rFonts w:ascii="Segoe UI" w:hAnsi="Segoe UI"/>
                <w:color w:val="333333"/>
                <w:sz w:val="20"/>
              </w:rPr>
              <w:t>Capex shortfall under COFO</w:t>
            </w:r>
          </w:p>
        </w:tc>
        <w:tc>
          <w:tcPr>
            <w:tcW w:type="dxa" w:w="2520"/>
            <w:shd w:fill="F0F4F8"/>
            <w:tcMar>
              <w:top w:w="80" w:type="dxa"/>
              <w:bottom w:w="80" w:type="dxa"/>
              <w:left w:w="130" w:type="dxa"/>
              <w:right w:w="130" w:type="dxa"/>
            </w:tcMar>
          </w:tcPr>
          <w:p>
            <w:r>
              <w:rPr>
                <w:rFonts w:ascii="Segoe UI" w:hAnsi="Segoe UI"/>
                <w:color w:val="333333"/>
                <w:sz w:val="20"/>
              </w:rPr>
              <w:t>CRITICAL</w:t>
            </w:r>
          </w:p>
        </w:tc>
        <w:tc>
          <w:tcPr>
            <w:tcW w:type="dxa" w:w="2520"/>
            <w:shd w:fill="F0F4F8"/>
            <w:tcMar>
              <w:top w:w="80" w:type="dxa"/>
              <w:bottom w:w="80" w:type="dxa"/>
              <w:left w:w="130" w:type="dxa"/>
              <w:right w:w="130" w:type="dxa"/>
            </w:tcMar>
          </w:tcPr>
          <w:p>
            <w:r>
              <w:rPr>
                <w:rFonts w:ascii="Segoe UI" w:hAnsi="Segoe UI"/>
                <w:color w:val="333333"/>
                <w:sz w:val="20"/>
              </w:rPr>
              <w:t>CERTAIN</w:t>
            </w:r>
          </w:p>
        </w:tc>
        <w:tc>
          <w:tcPr>
            <w:tcW w:type="dxa" w:w="2520"/>
            <w:shd w:fill="F0F4F8"/>
            <w:tcMar>
              <w:top w:w="80" w:type="dxa"/>
              <w:bottom w:w="80" w:type="dxa"/>
              <w:left w:w="130" w:type="dxa"/>
              <w:right w:w="130" w:type="dxa"/>
            </w:tcMar>
          </w:tcPr>
          <w:p>
            <w:r>
              <w:rPr>
                <w:rFonts w:ascii="Segoe UI" w:hAnsi="Segoe UI"/>
                <w:color w:val="333333"/>
                <w:sz w:val="20"/>
              </w:rPr>
              <w:t>Pivot to FOCO model immediately</w:t>
            </w:r>
          </w:p>
        </w:tc>
      </w:tr>
      <w:tr>
        <w:tc>
          <w:tcPr>
            <w:tcW w:type="dxa" w:w="2520"/>
            <w:shd w:fill="FFFFFF"/>
            <w:tcMar>
              <w:top w:w="80" w:type="dxa"/>
              <w:bottom w:w="80" w:type="dxa"/>
              <w:left w:w="130" w:type="dxa"/>
              <w:right w:w="130" w:type="dxa"/>
            </w:tcMar>
          </w:tcPr>
          <w:p>
            <w:r>
              <w:rPr>
                <w:rFonts w:ascii="Segoe UI" w:hAnsi="Segoe UI"/>
                <w:color w:val="333333"/>
                <w:sz w:val="20"/>
              </w:rPr>
              <w:t>Inter-state smuggling accusation</w:t>
            </w:r>
          </w:p>
        </w:tc>
        <w:tc>
          <w:tcPr>
            <w:tcW w:type="dxa" w:w="2520"/>
            <w:shd w:fill="FFFFFF"/>
            <w:tcMar>
              <w:top w:w="80" w:type="dxa"/>
              <w:bottom w:w="80" w:type="dxa"/>
              <w:left w:w="130" w:type="dxa"/>
              <w:right w:w="130" w:type="dxa"/>
            </w:tcMar>
          </w:tcPr>
          <w:p>
            <w:r>
              <w:rPr>
                <w:rFonts w:ascii="Segoe UI" w:hAnsi="Segoe UI"/>
                <w:color w:val="333333"/>
                <w:sz w:val="20"/>
              </w:rPr>
              <w:t>CRITICAL</w:t>
            </w:r>
          </w:p>
        </w:tc>
        <w:tc>
          <w:tcPr>
            <w:tcW w:type="dxa" w:w="2520"/>
            <w:shd w:fill="FFFFFF"/>
            <w:tcMar>
              <w:top w:w="80" w:type="dxa"/>
              <w:bottom w:w="80" w:type="dxa"/>
              <w:left w:w="130" w:type="dxa"/>
              <w:right w:w="130" w:type="dxa"/>
            </w:tcMar>
          </w:tcPr>
          <w:p>
            <w:r>
              <w:rPr>
                <w:rFonts w:ascii="Segoe UI" w:hAnsi="Segoe UI"/>
                <w:color w:val="333333"/>
                <w:sz w:val="20"/>
              </w:rPr>
              <w:t>MEDIUM</w:t>
            </w:r>
          </w:p>
        </w:tc>
        <w:tc>
          <w:tcPr>
            <w:tcW w:type="dxa" w:w="2520"/>
            <w:shd w:fill="FFFFFF"/>
            <w:tcMar>
              <w:top w:w="80" w:type="dxa"/>
              <w:bottom w:w="80" w:type="dxa"/>
              <w:left w:w="130" w:type="dxa"/>
              <w:right w:w="130" w:type="dxa"/>
            </w:tcMar>
          </w:tcPr>
          <w:p>
            <w:r>
              <w:rPr>
                <w:rFonts w:ascii="Segoe UI" w:hAnsi="Segoe UI"/>
                <w:color w:val="333333"/>
                <w:sz w:val="20"/>
              </w:rPr>
              <w:t>Establish MH tie-up bottling unit</w:t>
            </w:r>
          </w:p>
        </w:tc>
      </w:tr>
      <w:tr>
        <w:tc>
          <w:tcPr>
            <w:tcW w:type="dxa" w:w="2520"/>
            <w:shd w:fill="F0F4F8"/>
            <w:tcMar>
              <w:top w:w="80" w:type="dxa"/>
              <w:bottom w:w="80" w:type="dxa"/>
              <w:left w:w="130" w:type="dxa"/>
              <w:right w:w="130" w:type="dxa"/>
            </w:tcMar>
          </w:tcPr>
          <w:p>
            <w:r>
              <w:rPr>
                <w:rFonts w:ascii="Segoe UI" w:hAnsi="Segoe UI"/>
                <w:color w:val="333333"/>
                <w:sz w:val="20"/>
              </w:rPr>
              <w:t>Franchise undercapitalization</w:t>
            </w:r>
          </w:p>
        </w:tc>
        <w:tc>
          <w:tcPr>
            <w:tcW w:type="dxa" w:w="2520"/>
            <w:shd w:fill="F0F4F8"/>
            <w:tcMar>
              <w:top w:w="80" w:type="dxa"/>
              <w:bottom w:w="80" w:type="dxa"/>
              <w:left w:w="130" w:type="dxa"/>
              <w:right w:w="130" w:type="dxa"/>
            </w:tcMar>
          </w:tcPr>
          <w:p>
            <w:r>
              <w:rPr>
                <w:rFonts w:ascii="Segoe UI" w:hAnsi="Segoe UI"/>
                <w:color w:val="333333"/>
                <w:sz w:val="20"/>
              </w:rPr>
              <w:t>HIGH</w:t>
            </w:r>
          </w:p>
        </w:tc>
        <w:tc>
          <w:tcPr>
            <w:tcW w:type="dxa" w:w="2520"/>
            <w:shd w:fill="F0F4F8"/>
            <w:tcMar>
              <w:top w:w="80" w:type="dxa"/>
              <w:bottom w:w="80" w:type="dxa"/>
              <w:left w:w="130" w:type="dxa"/>
              <w:right w:w="130" w:type="dxa"/>
            </w:tcMar>
          </w:tcPr>
          <w:p>
            <w:r>
              <w:rPr>
                <w:rFonts w:ascii="Segoe UI" w:hAnsi="Segoe UI"/>
                <w:color w:val="333333"/>
                <w:sz w:val="20"/>
              </w:rPr>
              <w:t>HIGH</w:t>
            </w:r>
          </w:p>
        </w:tc>
        <w:tc>
          <w:tcPr>
            <w:tcW w:type="dxa" w:w="2520"/>
            <w:shd w:fill="F0F4F8"/>
            <w:tcMar>
              <w:top w:w="80" w:type="dxa"/>
              <w:bottom w:w="80" w:type="dxa"/>
              <w:left w:w="130" w:type="dxa"/>
              <w:right w:w="130" w:type="dxa"/>
            </w:tcMar>
          </w:tcPr>
          <w:p>
            <w:r>
              <w:rPr>
                <w:rFonts w:ascii="Segoe UI" w:hAnsi="Segoe UI"/>
                <w:color w:val="333333"/>
                <w:sz w:val="20"/>
              </w:rPr>
              <w:t>Revise payback projections to 18-24 months</w:t>
            </w:r>
          </w:p>
        </w:tc>
      </w:tr>
      <w:tr>
        <w:tc>
          <w:tcPr>
            <w:tcW w:type="dxa" w:w="2520"/>
            <w:shd w:fill="FFFFFF"/>
            <w:tcMar>
              <w:top w:w="80" w:type="dxa"/>
              <w:bottom w:w="80" w:type="dxa"/>
              <w:left w:w="130" w:type="dxa"/>
              <w:right w:w="130" w:type="dxa"/>
            </w:tcMar>
          </w:tcPr>
          <w:p>
            <w:r>
              <w:rPr>
                <w:rFonts w:ascii="Segoe UI" w:hAnsi="Segoe UI"/>
                <w:color w:val="333333"/>
                <w:sz w:val="20"/>
              </w:rPr>
              <w:t>FL-III licensing delays</w:t>
            </w:r>
          </w:p>
        </w:tc>
        <w:tc>
          <w:tcPr>
            <w:tcW w:type="dxa" w:w="2520"/>
            <w:shd w:fill="FFFFFF"/>
            <w:tcMar>
              <w:top w:w="80" w:type="dxa"/>
              <w:bottom w:w="80" w:type="dxa"/>
              <w:left w:w="130" w:type="dxa"/>
              <w:right w:w="130" w:type="dxa"/>
            </w:tcMar>
          </w:tcPr>
          <w:p>
            <w:r>
              <w:rPr>
                <w:rFonts w:ascii="Segoe UI" w:hAnsi="Segoe UI"/>
                <w:color w:val="333333"/>
                <w:sz w:val="20"/>
              </w:rPr>
              <w:t>MEDIUM</w:t>
            </w:r>
          </w:p>
        </w:tc>
        <w:tc>
          <w:tcPr>
            <w:tcW w:type="dxa" w:w="2520"/>
            <w:shd w:fill="FFFFFF"/>
            <w:tcMar>
              <w:top w:w="80" w:type="dxa"/>
              <w:bottom w:w="80" w:type="dxa"/>
              <w:left w:w="130" w:type="dxa"/>
              <w:right w:w="130" w:type="dxa"/>
            </w:tcMar>
          </w:tcPr>
          <w:p>
            <w:r>
              <w:rPr>
                <w:rFonts w:ascii="Segoe UI" w:hAnsi="Segoe UI"/>
                <w:color w:val="333333"/>
                <w:sz w:val="20"/>
              </w:rPr>
              <w:t>HIGH</w:t>
            </w:r>
          </w:p>
        </w:tc>
        <w:tc>
          <w:tcPr>
            <w:tcW w:type="dxa" w:w="2520"/>
            <w:shd w:fill="FFFFFF"/>
            <w:tcMar>
              <w:top w:w="80" w:type="dxa"/>
              <w:bottom w:w="80" w:type="dxa"/>
              <w:left w:w="130" w:type="dxa"/>
              <w:right w:w="130" w:type="dxa"/>
            </w:tcMar>
          </w:tcPr>
          <w:p>
            <w:r>
              <w:rPr>
                <w:rFonts w:ascii="Segoe UI" w:hAnsi="Segoe UI"/>
                <w:color w:val="333333"/>
                <w:sz w:val="20"/>
              </w:rPr>
              <w:t>Begin applications 6 months prior to planned launch</w:t>
            </w:r>
          </w:p>
        </w:tc>
      </w:tr>
      <w:tr>
        <w:tc>
          <w:tcPr>
            <w:tcW w:type="dxa" w:w="2520"/>
            <w:shd w:fill="F0F4F8"/>
            <w:tcMar>
              <w:top w:w="80" w:type="dxa"/>
              <w:bottom w:w="80" w:type="dxa"/>
              <w:left w:w="130" w:type="dxa"/>
              <w:right w:w="130" w:type="dxa"/>
            </w:tcMar>
          </w:tcPr>
          <w:p>
            <w:r>
              <w:rPr>
                <w:rFonts w:ascii="Segoe UI" w:hAnsi="Segoe UI"/>
                <w:color w:val="333333"/>
                <w:sz w:val="20"/>
              </w:rPr>
              <w:t>Age-gating enforcement failure</w:t>
            </w:r>
          </w:p>
        </w:tc>
        <w:tc>
          <w:tcPr>
            <w:tcW w:type="dxa" w:w="2520"/>
            <w:shd w:fill="F0F4F8"/>
            <w:tcMar>
              <w:top w:w="80" w:type="dxa"/>
              <w:bottom w:w="80" w:type="dxa"/>
              <w:left w:w="130" w:type="dxa"/>
              <w:right w:w="130" w:type="dxa"/>
            </w:tcMar>
          </w:tcPr>
          <w:p>
            <w:r>
              <w:rPr>
                <w:rFonts w:ascii="Segoe UI" w:hAnsi="Segoe UI"/>
                <w:color w:val="333333"/>
                <w:sz w:val="20"/>
              </w:rPr>
              <w:t>HIGH</w:t>
            </w:r>
          </w:p>
        </w:tc>
        <w:tc>
          <w:tcPr>
            <w:tcW w:type="dxa" w:w="2520"/>
            <w:shd w:fill="F0F4F8"/>
            <w:tcMar>
              <w:top w:w="80" w:type="dxa"/>
              <w:bottom w:w="80" w:type="dxa"/>
              <w:left w:w="130" w:type="dxa"/>
              <w:right w:w="130" w:type="dxa"/>
            </w:tcMar>
          </w:tcPr>
          <w:p>
            <w:r>
              <w:rPr>
                <w:rFonts w:ascii="Segoe UI" w:hAnsi="Segoe UI"/>
                <w:color w:val="333333"/>
                <w:sz w:val="20"/>
              </w:rPr>
              <w:t>HIGH</w:t>
            </w:r>
          </w:p>
        </w:tc>
        <w:tc>
          <w:tcPr>
            <w:tcW w:type="dxa" w:w="2520"/>
            <w:shd w:fill="F0F4F8"/>
            <w:tcMar>
              <w:top w:w="80" w:type="dxa"/>
              <w:bottom w:w="80" w:type="dxa"/>
              <w:left w:w="130" w:type="dxa"/>
              <w:right w:w="130" w:type="dxa"/>
            </w:tcMar>
          </w:tcPr>
          <w:p>
            <w:r>
              <w:rPr>
                <w:rFonts w:ascii="Segoe UI" w:hAnsi="Segoe UI"/>
                <w:color w:val="333333"/>
                <w:sz w:val="20"/>
              </w:rPr>
              <w:t>Token system auto-restricts spirit tokens by age verification</w:t>
            </w:r>
          </w:p>
        </w:tc>
      </w:tr>
      <w:tr>
        <w:tc>
          <w:tcPr>
            <w:tcW w:type="dxa" w:w="2520"/>
            <w:shd w:fill="FFFFFF"/>
            <w:tcMar>
              <w:top w:w="80" w:type="dxa"/>
              <w:bottom w:w="80" w:type="dxa"/>
              <w:left w:w="130" w:type="dxa"/>
              <w:right w:w="130" w:type="dxa"/>
            </w:tcMar>
          </w:tcPr>
          <w:p>
            <w:r>
              <w:rPr>
                <w:rFonts w:ascii="Segoe UI" w:hAnsi="Segoe UI"/>
                <w:color w:val="333333"/>
                <w:sz w:val="20"/>
              </w:rPr>
              <w:t>Custom packaging inventory lock-up</w:t>
            </w:r>
          </w:p>
        </w:tc>
        <w:tc>
          <w:tcPr>
            <w:tcW w:type="dxa" w:w="2520"/>
            <w:shd w:fill="FFFFFF"/>
            <w:tcMar>
              <w:top w:w="80" w:type="dxa"/>
              <w:bottom w:w="80" w:type="dxa"/>
              <w:left w:w="130" w:type="dxa"/>
              <w:right w:w="130" w:type="dxa"/>
            </w:tcMar>
          </w:tcPr>
          <w:p>
            <w:r>
              <w:rPr>
                <w:rFonts w:ascii="Segoe UI" w:hAnsi="Segoe UI"/>
                <w:color w:val="333333"/>
                <w:sz w:val="20"/>
              </w:rPr>
              <w:t>MEDIUM</w:t>
            </w:r>
          </w:p>
        </w:tc>
        <w:tc>
          <w:tcPr>
            <w:tcW w:type="dxa" w:w="2520"/>
            <w:shd w:fill="FFFFFF"/>
            <w:tcMar>
              <w:top w:w="80" w:type="dxa"/>
              <w:bottom w:w="80" w:type="dxa"/>
              <w:left w:w="130" w:type="dxa"/>
              <w:right w:w="130" w:type="dxa"/>
            </w:tcMar>
          </w:tcPr>
          <w:p>
            <w:r>
              <w:rPr>
                <w:rFonts w:ascii="Segoe UI" w:hAnsi="Segoe UI"/>
                <w:color w:val="333333"/>
                <w:sz w:val="20"/>
              </w:rPr>
              <w:t>MEDIUM</w:t>
            </w:r>
          </w:p>
        </w:tc>
        <w:tc>
          <w:tcPr>
            <w:tcW w:type="dxa" w:w="2520"/>
            <w:shd w:fill="FFFFFF"/>
            <w:tcMar>
              <w:top w:w="80" w:type="dxa"/>
              <w:bottom w:w="80" w:type="dxa"/>
              <w:left w:w="130" w:type="dxa"/>
              <w:right w:w="130" w:type="dxa"/>
            </w:tcMar>
          </w:tcPr>
          <w:p>
            <w:r>
              <w:rPr>
                <w:rFonts w:ascii="Segoe UI" w:hAnsi="Segoe UI"/>
                <w:color w:val="333333"/>
                <w:sz w:val="20"/>
              </w:rPr>
              <w:t>Phase in custom packaging after initial 50-outlet milestone</w:t>
            </w:r>
          </w:p>
        </w:tc>
      </w:tr>
    </w:tbl>
    <w:p>
      <w:pPr>
        <w:spacing w:after="200"/>
      </w:pPr>
    </w:p>
    <w:p>
      <w:r>
        <w:br w:type="page"/>
      </w:r>
    </w:p>
    <w:p>
      <w:pPr>
        <w:spacing w:before="400" w:after="120"/>
      </w:pPr>
      <w:r>
        <w:rPr>
          <w:rFonts w:ascii="Georgia" w:hAnsi="Georgia"/>
          <w:b/>
          <w:color w:val="D4AF37"/>
          <w:sz w:val="30"/>
        </w:rPr>
        <w:t xml:space="preserve">§11  </w:t>
      </w:r>
      <w:r>
        <w:rPr>
          <w:rFonts w:ascii="Segoe UI" w:hAnsi="Segoe UI"/>
          <w:b/>
          <w:color w:val="111111"/>
          <w:sz w:val="30"/>
        </w:rPr>
        <w:t>VALUATION, EXIT STRATEGY &amp; MARKET BENCHMARKING</w:t>
      </w:r>
    </w:p>
    <w:p>
      <w:pPr>
        <w:spacing w:after="160" w:line="300" w:lineRule="auto"/>
      </w:pPr>
      <w:r>
        <w:rPr>
          <w:rFonts w:ascii="Georgia" w:hAnsi="Georgia"/>
          <w:color w:val="3C3C3C"/>
          <w:sz w:val="21"/>
        </w:rPr>
        <w:t>The original Year 3 exit projection of ₹780 Crore (10x EBITDA on ₹78 Cr) requires significant recalibration under the revised financial model. With realistic per-outlet net profit of ₹5-8 Lakh/month and a phased rollout, the revised valuation timeline is presented below.</w:t>
      </w:r>
    </w:p>
    <w:tbl>
      <w:tblPr>
        <w:tblW w:type="auto" w:w="0"/>
        <w:jc w:val="center"/>
        <w:tblLook w:firstColumn="1" w:firstRow="1" w:lastColumn="0" w:lastRow="0" w:noHBand="0" w:noVBand="1" w:val="04A0"/>
        <w:tblBorders>
          <w:top w:val="single" w:sz="12" w:space="0" w:color="D4AF37"/>
          <w:bottom w:val="single" w:sz="12" w:space="0" w:color="D4AF37"/>
          <w:insideH w:val="single" w:sz="4" w:space="0" w:color="E8E8E8"/>
          <w:insideV w:val="single" w:sz="4" w:space="0" w:color="E8E8E8"/>
          <w:left w:val="none"/>
          <w:right w:val="none"/>
        </w:tblBorders>
      </w:tblPr>
      <w:tblGrid>
        <w:gridCol w:w="3360"/>
        <w:gridCol w:w="3360"/>
        <w:gridCol w:w="3360"/>
      </w:tblGrid>
      <w:tr>
        <w:tc>
          <w:tcPr>
            <w:tcW w:type="dxa" w:w="3360"/>
            <w:shd w:fill="0A1628"/>
            <w:tcMar>
              <w:top w:w="100" w:type="dxa"/>
              <w:bottom w:w="100" w:type="dxa"/>
              <w:left w:w="130" w:type="dxa"/>
              <w:right w:w="130" w:type="dxa"/>
            </w:tcMar>
          </w:tcPr>
          <w:p>
            <w:r>
              <w:rPr>
                <w:rFonts w:ascii="Segoe UI" w:hAnsi="Segoe UI"/>
                <w:b/>
                <w:color w:val="FFD700"/>
                <w:sz w:val="20"/>
              </w:rPr>
              <w:t>Metric</w:t>
            </w:r>
          </w:p>
        </w:tc>
        <w:tc>
          <w:tcPr>
            <w:tcW w:type="dxa" w:w="3360"/>
            <w:shd w:fill="0A1628"/>
            <w:tcMar>
              <w:top w:w="100" w:type="dxa"/>
              <w:bottom w:w="100" w:type="dxa"/>
              <w:left w:w="130" w:type="dxa"/>
              <w:right w:w="130" w:type="dxa"/>
            </w:tcMar>
          </w:tcPr>
          <w:p>
            <w:r>
              <w:rPr>
                <w:rFonts w:ascii="Segoe UI" w:hAnsi="Segoe UI"/>
                <w:b/>
                <w:color w:val="FFD700"/>
                <w:sz w:val="20"/>
              </w:rPr>
              <w:t>Original Projection</w:t>
            </w:r>
          </w:p>
        </w:tc>
        <w:tc>
          <w:tcPr>
            <w:tcW w:type="dxa" w:w="3360"/>
            <w:shd w:fill="0A1628"/>
            <w:tcMar>
              <w:top w:w="100" w:type="dxa"/>
              <w:bottom w:w="100" w:type="dxa"/>
              <w:left w:w="130" w:type="dxa"/>
              <w:right w:w="130" w:type="dxa"/>
            </w:tcMar>
          </w:tcPr>
          <w:p>
            <w:r>
              <w:rPr>
                <w:rFonts w:ascii="Segoe UI" w:hAnsi="Segoe UI"/>
                <w:b/>
                <w:color w:val="FFD700"/>
                <w:sz w:val="20"/>
              </w:rPr>
              <w:t>Revised Projection</w:t>
            </w:r>
          </w:p>
        </w:tc>
      </w:tr>
      <w:tr>
        <w:tc>
          <w:tcPr>
            <w:tcW w:type="dxa" w:w="3360"/>
            <w:shd w:fill="FFFFFF"/>
            <w:tcMar>
              <w:top w:w="80" w:type="dxa"/>
              <w:bottom w:w="80" w:type="dxa"/>
              <w:left w:w="130" w:type="dxa"/>
              <w:right w:w="130" w:type="dxa"/>
            </w:tcMar>
          </w:tcPr>
          <w:p>
            <w:r>
              <w:rPr>
                <w:rFonts w:ascii="Segoe UI" w:hAnsi="Segoe UI"/>
                <w:color w:val="333333"/>
                <w:sz w:val="20"/>
              </w:rPr>
              <w:t>Year 3 Outlet Count</w:t>
            </w:r>
          </w:p>
        </w:tc>
        <w:tc>
          <w:tcPr>
            <w:tcW w:type="dxa" w:w="3360"/>
            <w:shd w:fill="FFFFFF"/>
            <w:tcMar>
              <w:top w:w="80" w:type="dxa"/>
              <w:bottom w:w="80" w:type="dxa"/>
              <w:left w:w="130" w:type="dxa"/>
              <w:right w:w="130" w:type="dxa"/>
            </w:tcMar>
          </w:tcPr>
          <w:p>
            <w:r>
              <w:rPr>
                <w:rFonts w:ascii="Segoe UI" w:hAnsi="Segoe UI"/>
                <w:color w:val="333333"/>
                <w:sz w:val="20"/>
              </w:rPr>
              <w:t>367</w:t>
            </w:r>
          </w:p>
        </w:tc>
        <w:tc>
          <w:tcPr>
            <w:tcW w:type="dxa" w:w="3360"/>
            <w:shd w:fill="FFFFFF"/>
            <w:tcMar>
              <w:top w:w="80" w:type="dxa"/>
              <w:bottom w:w="80" w:type="dxa"/>
              <w:left w:w="130" w:type="dxa"/>
              <w:right w:w="130" w:type="dxa"/>
            </w:tcMar>
          </w:tcPr>
          <w:p>
            <w:r>
              <w:rPr>
                <w:rFonts w:ascii="Segoe UI" w:hAnsi="Segoe UI"/>
                <w:color w:val="333333"/>
                <w:sz w:val="20"/>
              </w:rPr>
              <w:t>200–250 (Realistic Licensing)</w:t>
            </w:r>
          </w:p>
        </w:tc>
      </w:tr>
      <w:tr>
        <w:tc>
          <w:tcPr>
            <w:tcW w:type="dxa" w:w="3360"/>
            <w:shd w:fill="F0F4F8"/>
            <w:tcMar>
              <w:top w:w="80" w:type="dxa"/>
              <w:bottom w:w="80" w:type="dxa"/>
              <w:left w:w="130" w:type="dxa"/>
              <w:right w:w="130" w:type="dxa"/>
            </w:tcMar>
          </w:tcPr>
          <w:p>
            <w:r>
              <w:rPr>
                <w:rFonts w:ascii="Segoe UI" w:hAnsi="Segoe UI"/>
                <w:color w:val="333333"/>
                <w:sz w:val="20"/>
              </w:rPr>
              <w:t>Year 3 EBITDA</w:t>
            </w:r>
          </w:p>
        </w:tc>
        <w:tc>
          <w:tcPr>
            <w:tcW w:type="dxa" w:w="3360"/>
            <w:shd w:fill="F0F4F8"/>
            <w:tcMar>
              <w:top w:w="80" w:type="dxa"/>
              <w:bottom w:w="80" w:type="dxa"/>
              <w:left w:w="130" w:type="dxa"/>
              <w:right w:w="130" w:type="dxa"/>
            </w:tcMar>
          </w:tcPr>
          <w:p>
            <w:r>
              <w:rPr>
                <w:rFonts w:ascii="Segoe UI" w:hAnsi="Segoe UI"/>
                <w:color w:val="333333"/>
                <w:sz w:val="20"/>
              </w:rPr>
              <w:t>₹78.0 Crore</w:t>
            </w:r>
          </w:p>
        </w:tc>
        <w:tc>
          <w:tcPr>
            <w:tcW w:type="dxa" w:w="3360"/>
            <w:shd w:fill="F0F4F8"/>
            <w:tcMar>
              <w:top w:w="80" w:type="dxa"/>
              <w:bottom w:w="80" w:type="dxa"/>
              <w:left w:w="130" w:type="dxa"/>
              <w:right w:w="130" w:type="dxa"/>
            </w:tcMar>
          </w:tcPr>
          <w:p>
            <w:r>
              <w:rPr>
                <w:rFonts w:ascii="Segoe UI" w:hAnsi="Segoe UI"/>
                <w:color w:val="333333"/>
                <w:sz w:val="20"/>
              </w:rPr>
              <w:t>₹24.0–₹36.0 Crore</w:t>
            </w:r>
          </w:p>
        </w:tc>
      </w:tr>
      <w:tr>
        <w:tc>
          <w:tcPr>
            <w:tcW w:type="dxa" w:w="3360"/>
            <w:shd w:fill="FFFFFF"/>
            <w:tcMar>
              <w:top w:w="80" w:type="dxa"/>
              <w:bottom w:w="80" w:type="dxa"/>
              <w:left w:w="130" w:type="dxa"/>
              <w:right w:w="130" w:type="dxa"/>
            </w:tcMar>
          </w:tcPr>
          <w:p>
            <w:r>
              <w:rPr>
                <w:rFonts w:ascii="Segoe UI" w:hAnsi="Segoe UI"/>
                <w:color w:val="333333"/>
                <w:sz w:val="20"/>
              </w:rPr>
              <w:t>EBITDA Multiple</w:t>
            </w:r>
          </w:p>
        </w:tc>
        <w:tc>
          <w:tcPr>
            <w:tcW w:type="dxa" w:w="3360"/>
            <w:shd w:fill="FFFFFF"/>
            <w:tcMar>
              <w:top w:w="80" w:type="dxa"/>
              <w:bottom w:w="80" w:type="dxa"/>
              <w:left w:w="130" w:type="dxa"/>
              <w:right w:w="130" w:type="dxa"/>
            </w:tcMar>
          </w:tcPr>
          <w:p>
            <w:r>
              <w:rPr>
                <w:rFonts w:ascii="Segoe UI" w:hAnsi="Segoe UI"/>
                <w:color w:val="333333"/>
                <w:sz w:val="20"/>
              </w:rPr>
              <w:t>10.0x</w:t>
            </w:r>
          </w:p>
        </w:tc>
        <w:tc>
          <w:tcPr>
            <w:tcW w:type="dxa" w:w="3360"/>
            <w:shd w:fill="FFFFFF"/>
            <w:tcMar>
              <w:top w:w="80" w:type="dxa"/>
              <w:bottom w:w="80" w:type="dxa"/>
              <w:left w:w="130" w:type="dxa"/>
              <w:right w:w="130" w:type="dxa"/>
            </w:tcMar>
          </w:tcPr>
          <w:p>
            <w:r>
              <w:rPr>
                <w:rFonts w:ascii="Segoe UI" w:hAnsi="Segoe UI"/>
                <w:color w:val="333333"/>
                <w:sz w:val="20"/>
              </w:rPr>
              <w:t>8.0x (Conservative)</w:t>
            </w:r>
          </w:p>
        </w:tc>
      </w:tr>
      <w:tr>
        <w:tc>
          <w:tcPr>
            <w:tcW w:type="dxa" w:w="3360"/>
            <w:shd w:fill="F0F4F8"/>
            <w:tcMar>
              <w:top w:w="80" w:type="dxa"/>
              <w:bottom w:w="80" w:type="dxa"/>
              <w:left w:w="130" w:type="dxa"/>
              <w:right w:w="130" w:type="dxa"/>
            </w:tcMar>
          </w:tcPr>
          <w:p>
            <w:r>
              <w:rPr>
                <w:rFonts w:ascii="Segoe UI" w:hAnsi="Segoe UI"/>
                <w:color w:val="333333"/>
                <w:sz w:val="20"/>
              </w:rPr>
              <w:t>Enterprise Valuation</w:t>
            </w:r>
          </w:p>
        </w:tc>
        <w:tc>
          <w:tcPr>
            <w:tcW w:type="dxa" w:w="3360"/>
            <w:shd w:fill="F0F4F8"/>
            <w:tcMar>
              <w:top w:w="80" w:type="dxa"/>
              <w:bottom w:w="80" w:type="dxa"/>
              <w:left w:w="130" w:type="dxa"/>
              <w:right w:w="130" w:type="dxa"/>
            </w:tcMar>
          </w:tcPr>
          <w:p>
            <w:r>
              <w:rPr>
                <w:rFonts w:ascii="Segoe UI" w:hAnsi="Segoe UI"/>
                <w:color w:val="333333"/>
                <w:sz w:val="20"/>
              </w:rPr>
              <w:t>₹780.0 Crore</w:t>
            </w:r>
          </w:p>
        </w:tc>
        <w:tc>
          <w:tcPr>
            <w:tcW w:type="dxa" w:w="3360"/>
            <w:shd w:fill="F0F4F8"/>
            <w:tcMar>
              <w:top w:w="80" w:type="dxa"/>
              <w:bottom w:w="80" w:type="dxa"/>
              <w:left w:w="130" w:type="dxa"/>
              <w:right w:w="130" w:type="dxa"/>
            </w:tcMar>
          </w:tcPr>
          <w:p>
            <w:r>
              <w:rPr>
                <w:rFonts w:ascii="Segoe UI" w:hAnsi="Segoe UI"/>
                <w:color w:val="333333"/>
                <w:sz w:val="20"/>
              </w:rPr>
              <w:t>₹192–₹288 Crore</w:t>
            </w:r>
          </w:p>
        </w:tc>
      </w:tr>
      <w:tr>
        <w:tc>
          <w:tcPr>
            <w:tcW w:type="dxa" w:w="3360"/>
            <w:shd w:fill="FFFFFF"/>
            <w:tcMar>
              <w:top w:w="80" w:type="dxa"/>
              <w:bottom w:w="80" w:type="dxa"/>
              <w:left w:w="130" w:type="dxa"/>
              <w:right w:w="130" w:type="dxa"/>
            </w:tcMar>
          </w:tcPr>
          <w:p>
            <w:r>
              <w:rPr>
                <w:rFonts w:ascii="Segoe UI" w:hAnsi="Segoe UI"/>
                <w:color w:val="333333"/>
                <w:sz w:val="20"/>
              </w:rPr>
              <w:t>Investor 25% Stake Value</w:t>
            </w:r>
          </w:p>
        </w:tc>
        <w:tc>
          <w:tcPr>
            <w:tcW w:type="dxa" w:w="3360"/>
            <w:shd w:fill="FFFFFF"/>
            <w:tcMar>
              <w:top w:w="80" w:type="dxa"/>
              <w:bottom w:w="80" w:type="dxa"/>
              <w:left w:w="130" w:type="dxa"/>
              <w:right w:w="130" w:type="dxa"/>
            </w:tcMar>
          </w:tcPr>
          <w:p>
            <w:r>
              <w:rPr>
                <w:rFonts w:ascii="Segoe UI" w:hAnsi="Segoe UI"/>
                <w:color w:val="333333"/>
                <w:sz w:val="20"/>
              </w:rPr>
              <w:t>₹195.0 Crore</w:t>
            </w:r>
          </w:p>
        </w:tc>
        <w:tc>
          <w:tcPr>
            <w:tcW w:type="dxa" w:w="3360"/>
            <w:shd w:fill="FFFFFF"/>
            <w:tcMar>
              <w:top w:w="80" w:type="dxa"/>
              <w:bottom w:w="80" w:type="dxa"/>
              <w:left w:w="130" w:type="dxa"/>
              <w:right w:w="130" w:type="dxa"/>
            </w:tcMar>
          </w:tcPr>
          <w:p>
            <w:r>
              <w:rPr>
                <w:rFonts w:ascii="Segoe UI" w:hAnsi="Segoe UI"/>
                <w:color w:val="333333"/>
                <w:sz w:val="20"/>
              </w:rPr>
              <w:t>₹48–₹72 Crore</w:t>
            </w:r>
          </w:p>
        </w:tc>
      </w:tr>
      <w:tr>
        <w:tc>
          <w:tcPr>
            <w:tcW w:type="dxa" w:w="3360"/>
            <w:shd w:fill="F0F4F8"/>
            <w:tcMar>
              <w:top w:w="80" w:type="dxa"/>
              <w:bottom w:w="80" w:type="dxa"/>
              <w:left w:w="130" w:type="dxa"/>
              <w:right w:w="130" w:type="dxa"/>
            </w:tcMar>
          </w:tcPr>
          <w:p>
            <w:r>
              <w:rPr>
                <w:rFonts w:ascii="Segoe UI" w:hAnsi="Segoe UI"/>
                <w:color w:val="333333"/>
                <w:sz w:val="20"/>
              </w:rPr>
              <w:t>Investor ROI</w:t>
            </w:r>
          </w:p>
        </w:tc>
        <w:tc>
          <w:tcPr>
            <w:tcW w:type="dxa" w:w="3360"/>
            <w:shd w:fill="F0F4F8"/>
            <w:tcMar>
              <w:top w:w="80" w:type="dxa"/>
              <w:bottom w:w="80" w:type="dxa"/>
              <w:left w:w="130" w:type="dxa"/>
              <w:right w:w="130" w:type="dxa"/>
            </w:tcMar>
          </w:tcPr>
          <w:p>
            <w:r>
              <w:rPr>
                <w:rFonts w:ascii="Segoe UI" w:hAnsi="Segoe UI"/>
                <w:color w:val="333333"/>
                <w:sz w:val="20"/>
              </w:rPr>
              <w:t>10.8x</w:t>
            </w:r>
          </w:p>
        </w:tc>
        <w:tc>
          <w:tcPr>
            <w:tcW w:type="dxa" w:w="3360"/>
            <w:shd w:fill="F0F4F8"/>
            <w:tcMar>
              <w:top w:w="80" w:type="dxa"/>
              <w:bottom w:w="80" w:type="dxa"/>
              <w:left w:w="130" w:type="dxa"/>
              <w:right w:w="130" w:type="dxa"/>
            </w:tcMar>
          </w:tcPr>
          <w:p>
            <w:r>
              <w:rPr>
                <w:rFonts w:ascii="Segoe UI" w:hAnsi="Segoe UI"/>
                <w:color w:val="333333"/>
                <w:sz w:val="20"/>
              </w:rPr>
              <w:t>2.7x – 4.0x</w:t>
            </w:r>
          </w:p>
        </w:tc>
      </w:tr>
      <w:tr>
        <w:tc>
          <w:tcPr>
            <w:tcW w:type="dxa" w:w="3360"/>
            <w:shd w:fill="FFFFFF"/>
            <w:tcMar>
              <w:top w:w="80" w:type="dxa"/>
              <w:bottom w:w="80" w:type="dxa"/>
              <w:left w:w="130" w:type="dxa"/>
              <w:right w:w="130" w:type="dxa"/>
            </w:tcMar>
          </w:tcPr>
          <w:p>
            <w:r>
              <w:rPr>
                <w:rFonts w:ascii="Segoe UI" w:hAnsi="Segoe UI"/>
                <w:color w:val="333333"/>
                <w:sz w:val="20"/>
              </w:rPr>
              <w:t>IRR (Estimated)</w:t>
            </w:r>
          </w:p>
        </w:tc>
        <w:tc>
          <w:tcPr>
            <w:tcW w:type="dxa" w:w="3360"/>
            <w:shd w:fill="FFFFFF"/>
            <w:tcMar>
              <w:top w:w="80" w:type="dxa"/>
              <w:bottom w:w="80" w:type="dxa"/>
              <w:left w:w="130" w:type="dxa"/>
              <w:right w:w="130" w:type="dxa"/>
            </w:tcMar>
          </w:tcPr>
          <w:p>
            <w:r>
              <w:rPr>
                <w:rFonts w:ascii="Segoe UI" w:hAnsi="Segoe UI"/>
                <w:color w:val="333333"/>
                <w:sz w:val="20"/>
              </w:rPr>
              <w:t>~120%</w:t>
            </w:r>
          </w:p>
        </w:tc>
        <w:tc>
          <w:tcPr>
            <w:tcW w:type="dxa" w:w="3360"/>
            <w:shd w:fill="FFFFFF"/>
            <w:tcMar>
              <w:top w:w="80" w:type="dxa"/>
              <w:bottom w:w="80" w:type="dxa"/>
              <w:left w:w="130" w:type="dxa"/>
              <w:right w:w="130" w:type="dxa"/>
            </w:tcMar>
          </w:tcPr>
          <w:p>
            <w:r>
              <w:rPr>
                <w:rFonts w:ascii="Segoe UI" w:hAnsi="Segoe UI"/>
                <w:color w:val="333333"/>
                <w:sz w:val="20"/>
              </w:rPr>
              <w:t>~45–60%</w:t>
            </w:r>
          </w:p>
        </w:tc>
      </w:tr>
    </w:tbl>
    <w:p>
      <w:pPr>
        <w:spacing w:after="200"/>
      </w:pPr>
    </w:p>
    <w:tbl>
      <w:tblPr>
        <w:tblW w:type="auto" w:w="0"/>
        <w:jc w:val="center"/>
        <w:tblLook w:firstColumn="1" w:firstRow="1" w:lastColumn="0" w:lastRow="0" w:noHBand="0" w:noVBand="1" w:val="04A0"/>
      </w:tblPr>
      <w:tblGrid>
        <w:gridCol w:w="10080"/>
      </w:tblGrid>
      <w:tr>
        <w:tc>
          <w:tcPr>
            <w:tcW w:type="dxa" w:w="10080"/>
            <w:shd w:fill="FBF9F1"/>
            <w:tcMar>
              <w:top w:w="180" w:type="dxa"/>
              <w:bottom w:w="180" w:type="dxa"/>
              <w:left w:w="250" w:type="dxa"/>
              <w:right w:w="250" w:type="dxa"/>
            </w:tcMar>
            <w:tcBorders>
              <w:left w:val="single" w:sz="36" w:space="0" w:color="D4AF37"/>
              <w:top w:val="none"/>
              <w:right w:val="none"/>
              <w:bottom w:val="none"/>
            </w:tcBorders>
          </w:tcPr>
          <w:p>
            <w:r>
              <w:rPr>
                <w:rFonts w:ascii="Segoe UI Semibold" w:hAnsi="Segoe UI Semibold"/>
                <w:color w:val="B8860B"/>
                <w:sz w:val="22"/>
              </w:rPr>
              <w:t>✦ REVISED INVESTOR THESIS</w:t>
              <w:br/>
            </w:r>
            <w:r>
              <w:rPr>
                <w:rFonts w:ascii="Georgia" w:hAnsi="Georgia"/>
                <w:color w:val="222222"/>
                <w:sz w:val="21"/>
              </w:rPr>
              <w:t>Even at the conservative revised projections, a 2.7x to 4.0x return over 36 months (45-60% IRR) represents an exceptional risk-adjusted return for an early-stage consumer brand in the Indian alcobev sector. The key differentiator is that these projections are now legally defensible and operationally achievable.</w:t>
            </w:r>
          </w:p>
        </w:tc>
      </w:tr>
    </w:tbl>
    <w:p>
      <w:pPr>
        <w:spacing w:after="160"/>
      </w:pPr>
    </w:p>
    <w:p>
      <w:r>
        <w:br w:type="page"/>
      </w:r>
    </w:p>
    <w:tbl>
      <w:tblPr>
        <w:tblW w:type="auto" w:w="0"/>
        <w:jc w:val="center"/>
        <w:tblLook w:firstColumn="1" w:firstRow="1" w:lastColumn="0" w:lastRow="0" w:noHBand="0" w:noVBand="1" w:val="04A0"/>
      </w:tblPr>
      <w:tblGrid>
        <w:gridCol w:w="10080"/>
      </w:tblGrid>
      <w:tr>
        <w:tc>
          <w:tcPr>
            <w:tcW w:type="dxa" w:w="10080"/>
            <w:shd w:fill="0A1628"/>
            <w:tcMar>
              <w:top w:w="250" w:type="dxa"/>
              <w:bottom w:w="250" w:type="dxa"/>
              <w:left w:w="300" w:type="dxa"/>
              <w:right w:w="300" w:type="dxa"/>
            </w:tcMar>
          </w:tcPr>
          <w:p>
            <w:pPr>
              <w:jc w:val="center"/>
            </w:pPr>
            <w:r>
              <w:rPr>
                <w:rFonts w:ascii="Segoe UI Black" w:hAnsi="Segoe UI Black"/>
                <w:color w:val="D4AF37"/>
                <w:sz w:val="36"/>
              </w:rPr>
              <w:t>LEGAL DISCLAIMERS &amp; CONFIDENTIALITY</w:t>
            </w:r>
          </w:p>
        </w:tc>
      </w:tr>
    </w:tbl>
    <w:p>
      <w:pPr>
        <w:spacing w:after="200"/>
      </w:pPr>
    </w:p>
    <w:p>
      <w:pPr>
        <w:spacing w:after="120"/>
        <w:ind w:left="432"/>
      </w:pPr>
      <w:r>
        <w:rPr>
          <w:rFonts w:ascii="Georgia" w:hAnsi="Georgia"/>
          <w:b/>
          <w:color w:val="111111"/>
          <w:sz w:val="21"/>
        </w:rPr>
        <w:t xml:space="preserve">I. </w:t>
      </w:r>
      <w:r>
        <w:rPr>
          <w:rFonts w:ascii="Georgia" w:hAnsi="Georgia"/>
          <w:color w:val="3C3C3C"/>
          <w:sz w:val="21"/>
        </w:rPr>
        <w:t>This document is prepared for informational purposes only and does not constitute an offer or solicitation for the purchase or sale of any financial instrument.</w:t>
      </w:r>
    </w:p>
    <w:p>
      <w:pPr>
        <w:spacing w:after="120"/>
        <w:ind w:left="432"/>
      </w:pPr>
      <w:r>
        <w:rPr>
          <w:rFonts w:ascii="Georgia" w:hAnsi="Georgia"/>
          <w:b/>
          <w:color w:val="111111"/>
          <w:sz w:val="21"/>
        </w:rPr>
        <w:t xml:space="preserve">II. </w:t>
      </w:r>
      <w:r>
        <w:rPr>
          <w:rFonts w:ascii="Georgia" w:hAnsi="Georgia"/>
          <w:color w:val="3C3C3C"/>
          <w:sz w:val="21"/>
        </w:rPr>
        <w:t>All financial projections are forward-looking estimates based on assumptions that may not materialize. Actual results may differ materially.</w:t>
      </w:r>
    </w:p>
    <w:p>
      <w:pPr>
        <w:spacing w:after="120"/>
        <w:ind w:left="432"/>
      </w:pPr>
      <w:r>
        <w:rPr>
          <w:rFonts w:ascii="Georgia" w:hAnsi="Georgia"/>
          <w:b/>
          <w:color w:val="111111"/>
          <w:sz w:val="21"/>
        </w:rPr>
        <w:t xml:space="preserve">III. </w:t>
      </w:r>
      <w:r>
        <w:rPr>
          <w:rFonts w:ascii="Georgia" w:hAnsi="Georgia"/>
          <w:color w:val="3C3C3C"/>
          <w:sz w:val="21"/>
        </w:rPr>
        <w:t>The regulatory analysis herein is based on publicly available information regarding the Maharashtra Prohibition Act, 1949, and applicable state excise regulations as of August 2026.</w:t>
      </w:r>
    </w:p>
    <w:p>
      <w:pPr>
        <w:spacing w:after="120"/>
        <w:ind w:left="432"/>
      </w:pPr>
      <w:r>
        <w:rPr>
          <w:rFonts w:ascii="Georgia" w:hAnsi="Georgia"/>
          <w:b/>
          <w:color w:val="111111"/>
          <w:sz w:val="21"/>
        </w:rPr>
        <w:t xml:space="preserve">IV. </w:t>
      </w:r>
      <w:r>
        <w:rPr>
          <w:rFonts w:ascii="Georgia" w:hAnsi="Georgia"/>
          <w:color w:val="3C3C3C"/>
          <w:sz w:val="21"/>
        </w:rPr>
        <w:t>This document is strictly confidential and intended solely for the authorized recipient. Unauthorized reproduction, distribution, or disclosure is prohibited.</w:t>
      </w:r>
    </w:p>
    <w:p>
      <w:pPr>
        <w:spacing w:after="120"/>
        <w:ind w:left="432"/>
      </w:pPr>
      <w:r>
        <w:rPr>
          <w:rFonts w:ascii="Georgia" w:hAnsi="Georgia"/>
          <w:b/>
          <w:color w:val="111111"/>
          <w:sz w:val="21"/>
        </w:rPr>
        <w:t xml:space="preserve">V. </w:t>
      </w:r>
      <w:r>
        <w:rPr>
          <w:rFonts w:ascii="Georgia" w:hAnsi="Georgia"/>
          <w:color w:val="3C3C3C"/>
          <w:sz w:val="21"/>
        </w:rPr>
        <w:t>FeraBee Liquor Private Limited, its promoters, and advisors accept no liability for decisions made based on the information contained herein.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