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jc w:val="center"/>
      </w:pPr>
      <w:r>
        <w:rPr>
          <w:rFonts w:ascii="Segoe UI Black" w:hAnsi="Segoe UI Black"/>
          <w:color w:val="111111"/>
          <w:sz w:val="72"/>
        </w:rPr>
        <w:t>FERABEE LIQUOR</w:t>
        <w:br/>
      </w:r>
      <w:r>
        <w:rPr>
          <w:rFonts w:ascii="Georgia" w:hAnsi="Georgia"/>
          <w:i/>
          <w:color w:val="D4AF37"/>
          <w:sz w:val="36"/>
        </w:rPr>
        <w:t>THE ROYAL BEE</w:t>
        <w:br/>
      </w:r>
    </w:p>
    <w:p>
      <w:pPr>
        <w:spacing w:after="600"/>
        <w:jc w:val="center"/>
      </w:pPr>
      <w:r>
        <w:rPr>
          <w:rFonts w:ascii="Segoe UI Semibold" w:hAnsi="Segoe UI Semibold"/>
          <w:color w:val="646464"/>
          <w:sz w:val="24"/>
        </w:rPr>
        <w:t>MASTER PROJECT REPORT &amp; BUSINESS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rabee_whisky_17866302254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rFonts w:ascii="Georgia" w:hAnsi="Georgia"/>
          <w:i/>
          <w:color w:val="808080"/>
          <w:sz w:val="20"/>
        </w:rPr>
        <w:t>Product Concept: FeraBee Small Batch Premium Whisky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4AF37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Segoe UI Black" w:hAnsi="Segoe UI Black"/>
                <w:color w:val="111111"/>
                <w:sz w:val="40"/>
              </w:rPr>
              <w:t>EXECUTIVE SUMMARY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F9F1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left w:val="single" w:sz="36" w:space="0" w:color="D4AF37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Segoe UI Semibold" w:hAnsi="Segoe UI Semibold"/>
                <w:color w:val="B8860B"/>
                <w:sz w:val="24"/>
              </w:rPr>
              <w:t>✦ THE FERABEE VISION ✦</w:t>
              <w:br/>
            </w:r>
            <w:r>
              <w:rPr>
                <w:rFonts w:ascii="Georgia" w:hAnsi="Georgia"/>
                <w:color w:val="222222"/>
                <w:sz w:val="22"/>
              </w:rPr>
              <w:t>FeraBee Liquor Pvt Ltd is launching a premium 6-to-8 product alcobev portfolio paired with an exclusive chain of 367 '100-Cover FeraBee Bee Lounges' across Maharashtra and Goa under a Company Owned Franchise Operated (COFO) model. Direct consumption through franchise outlets guarantees massive sales volume, eliminating traditional wine shop retail dependency.</w:t>
            </w:r>
          </w:p>
        </w:tc>
      </w:tr>
    </w:tbl>
    <w:p>
      <w:pPr>
        <w:spacing w:after="160"/>
      </w:pPr>
    </w:p>
    <w:p>
      <w:pPr>
        <w:spacing w:before="480" w:after="160"/>
      </w:pPr>
      <w:r>
        <w:rPr>
          <w:rFonts w:ascii="Arial" w:hAnsi="Arial"/>
          <w:color w:val="D4AF37"/>
          <w:sz w:val="36"/>
        </w:rPr>
        <w:t xml:space="preserve">┃  </w:t>
      </w:r>
      <w:r>
        <w:rPr>
          <w:rFonts w:ascii="Segoe UI" w:hAnsi="Segoe UI"/>
          <w:b/>
          <w:color w:val="1A1A1A"/>
          <w:sz w:val="32"/>
        </w:rPr>
        <w:t>1. Corporate Structure</w:t>
      </w:r>
    </w:p>
    <w:p>
      <w:pPr>
        <w:spacing w:after="160" w:line="288" w:lineRule="auto"/>
      </w:pPr>
      <w:r>
        <w:rPr>
          <w:rFonts w:ascii="Georgia" w:hAnsi="Georgia"/>
          <w:color w:val="333333"/>
          <w:sz w:val="22"/>
        </w:rPr>
        <w:t>FeraBee Liquor Private Limited represents a high-growth corporate model in the Indian spirits and hospitality franchise ecosystem. By securing manufacturing and bottling agreements out of Goa, the company benefits from a 30% to 40% excise tax advantage compared to surrounding states.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D4AF37"/>
          <w:bottom w:val="single" w:sz="12" w:space="0" w:color="D4AF37"/>
          <w:insideH w:val="single" w:sz="4" w:space="0" w:color="EFEFEF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968"/>
            <w:shd w:fill="11111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D700"/>
                <w:sz w:val="20"/>
              </w:rPr>
              <w:t>Metric / Element</w:t>
            </w:r>
          </w:p>
        </w:tc>
        <w:tc>
          <w:tcPr>
            <w:tcW w:type="dxa" w:w="4968"/>
            <w:shd w:fill="11111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D700"/>
                <w:sz w:val="20"/>
              </w:rPr>
              <w:t>Details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Authorised Capital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44444"/>
                <w:sz w:val="20"/>
              </w:rPr>
              <w:t>₹10,00,00,000 (₹10 Crore)</w:t>
            </w:r>
          </w:p>
        </w:tc>
      </w:tr>
      <w:tr>
        <w:tc>
          <w:tcPr>
            <w:tcW w:type="dxa" w:w="4968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Paid-Up Capital</w:t>
            </w:r>
          </w:p>
        </w:tc>
        <w:tc>
          <w:tcPr>
            <w:tcW w:type="dxa" w:w="4968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44444"/>
                <w:sz w:val="20"/>
              </w:rPr>
              <w:t>₹50,00,000 (₹50 Lakh)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Promoter Shareholding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44444"/>
                <w:sz w:val="20"/>
              </w:rPr>
              <w:t>51% : 49% Split</w:t>
            </w:r>
          </w:p>
        </w:tc>
      </w:tr>
      <w:tr>
        <w:tc>
          <w:tcPr>
            <w:tcW w:type="dxa" w:w="4968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Brand Aesthetics</w:t>
            </w:r>
          </w:p>
        </w:tc>
        <w:tc>
          <w:tcPr>
            <w:tcW w:type="dxa" w:w="4968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44444"/>
                <w:sz w:val="20"/>
              </w:rPr>
              <w:t>Gold on Black / The Royal Bee / Hexagonal Crest</w:t>
            </w:r>
          </w:p>
        </w:tc>
      </w:tr>
    </w:tbl>
    <w:p>
      <w:pPr>
        <w:spacing w:after="240"/>
      </w:pPr>
    </w:p>
    <w:p>
      <w:pPr>
        <w:spacing w:before="480" w:after="160"/>
      </w:pPr>
      <w:r>
        <w:rPr>
          <w:rFonts w:ascii="Arial" w:hAnsi="Arial"/>
          <w:color w:val="D4AF37"/>
          <w:sz w:val="36"/>
        </w:rPr>
        <w:t xml:space="preserve">┃  </w:t>
      </w:r>
      <w:r>
        <w:rPr>
          <w:rFonts w:ascii="Segoe UI" w:hAnsi="Segoe UI"/>
          <w:b/>
          <w:color w:val="1A1A1A"/>
          <w:sz w:val="32"/>
        </w:rPr>
        <w:t>2. Product Portfolio</w:t>
      </w:r>
    </w:p>
    <w:p>
      <w:pPr>
        <w:spacing w:after="160" w:line="288" w:lineRule="auto"/>
      </w:pPr>
      <w:r>
        <w:rPr>
          <w:rFonts w:ascii="Georgia" w:hAnsi="Georgia"/>
          <w:color w:val="333333"/>
          <w:sz w:val="22"/>
        </w:rPr>
        <w:t>The FeraBee product lineup comprises core SKUs across Spirits, Craft Beer, and Wine, formulated at 42.8% v/v IMFL standard strength with custom luxury packaging.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D4AF37"/>
          <w:bottom w:val="single" w:sz="12" w:space="0" w:color="D4AF37"/>
          <w:insideH w:val="single" w:sz="4" w:space="0" w:color="EFEFEF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1111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D700"/>
                <w:sz w:val="20"/>
              </w:rPr>
              <w:t>Category</w:t>
            </w:r>
          </w:p>
        </w:tc>
        <w:tc>
          <w:tcPr>
            <w:tcW w:type="dxa" w:w="2484"/>
            <w:shd w:fill="11111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D700"/>
                <w:sz w:val="20"/>
              </w:rPr>
              <w:t>Packaging</w:t>
            </w:r>
          </w:p>
        </w:tc>
        <w:tc>
          <w:tcPr>
            <w:tcW w:type="dxa" w:w="2484"/>
            <w:shd w:fill="11111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D700"/>
                <w:sz w:val="20"/>
              </w:rPr>
              <w:t>Blend Specifications</w:t>
            </w:r>
          </w:p>
        </w:tc>
        <w:tc>
          <w:tcPr>
            <w:tcW w:type="dxa" w:w="2484"/>
            <w:shd w:fill="11111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D700"/>
                <w:sz w:val="20"/>
              </w:rPr>
              <w:t>Goa MRP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FeraBee Whisky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750ml Custom Black Glass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42.8% v/v Grain &amp; Malt, Honey Finish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44444"/>
                <w:sz w:val="20"/>
              </w:rPr>
              <w:t>₹1,350</w:t>
            </w:r>
          </w:p>
        </w:tc>
      </w:tr>
      <w:tr>
        <w:tc>
          <w:tcPr>
            <w:tcW w:type="dxa" w:w="2484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FeraBee Vodka</w:t>
            </w:r>
          </w:p>
        </w:tc>
        <w:tc>
          <w:tcPr>
            <w:tcW w:type="dxa" w:w="2484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750ml Clear Glass</w:t>
            </w:r>
          </w:p>
        </w:tc>
        <w:tc>
          <w:tcPr>
            <w:tcW w:type="dxa" w:w="2484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42.8% v/v Triple-Distilled</w:t>
            </w:r>
          </w:p>
        </w:tc>
        <w:tc>
          <w:tcPr>
            <w:tcW w:type="dxa" w:w="2484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44444"/>
                <w:sz w:val="20"/>
              </w:rPr>
              <w:t>₹1,150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FeraBee Gin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750ml Clear Glass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42.8% Botanical Blend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44444"/>
                <w:sz w:val="20"/>
              </w:rPr>
              <w:t>₹1,450</w:t>
            </w:r>
          </w:p>
        </w:tc>
      </w:tr>
      <w:tr>
        <w:tc>
          <w:tcPr>
            <w:tcW w:type="dxa" w:w="2484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FeraBee Rum</w:t>
            </w:r>
          </w:p>
        </w:tc>
        <w:tc>
          <w:tcPr>
            <w:tcW w:type="dxa" w:w="2484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750ml Glass Bottle</w:t>
            </w:r>
          </w:p>
        </w:tc>
        <w:tc>
          <w:tcPr>
            <w:tcW w:type="dxa" w:w="2484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42.8% Premium Dark Rum</w:t>
            </w:r>
          </w:p>
        </w:tc>
        <w:tc>
          <w:tcPr>
            <w:tcW w:type="dxa" w:w="2484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44444"/>
                <w:sz w:val="20"/>
              </w:rPr>
              <w:t>₹1,050</w:t>
            </w:r>
          </w:p>
        </w:tc>
      </w:tr>
      <w:tr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FeraBee Beer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650ml Bottle / 500ml Can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5.0% Premium Crisp Lager</w:t>
            </w:r>
          </w:p>
        </w:tc>
        <w:tc>
          <w:tcPr>
            <w:tcW w:type="dxa" w:w="24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44444"/>
                <w:sz w:val="20"/>
              </w:rPr>
              <w:t>₹140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11111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Segoe UI Black" w:hAnsi="Segoe UI Black"/>
                <w:color w:val="D4AF37"/>
                <w:sz w:val="40"/>
              </w:rPr>
              <w:t>THE LOUNGE EXPERIENCE</w:t>
            </w:r>
          </w:p>
        </w:tc>
      </w:tr>
    </w:tbl>
    <w:p>
      <w:pPr>
        <w:spacing w:after="240"/>
      </w:pPr>
    </w:p>
    <w:p>
      <w:pPr>
        <w:spacing w:before="480" w:after="160"/>
      </w:pPr>
      <w:r>
        <w:rPr>
          <w:rFonts w:ascii="Arial" w:hAnsi="Arial"/>
          <w:color w:val="D4AF37"/>
          <w:sz w:val="36"/>
        </w:rPr>
        <w:t xml:space="preserve">┃  </w:t>
      </w:r>
      <w:r>
        <w:rPr>
          <w:rFonts w:ascii="Segoe UI" w:hAnsi="Segoe UI"/>
          <w:b/>
          <w:color w:val="1A1A1A"/>
          <w:sz w:val="32"/>
        </w:rPr>
        <w:t>3. FeraBee Bee Lounge Concept</w:t>
      </w:r>
    </w:p>
    <w:p>
      <w:pPr>
        <w:spacing w:after="160" w:line="288" w:lineRule="auto"/>
      </w:pPr>
      <w:r>
        <w:rPr>
          <w:rFonts w:ascii="Georgia" w:hAnsi="Georgia"/>
          <w:color w:val="333333"/>
          <w:sz w:val="22"/>
        </w:rPr>
        <w:t>Each FeraBee franchise outlet operates as a high-density, social dining destination designed to offer maximum visual appeal and customer throughput. Features include Black Marble flooring, Gold Trim, a Honey Drip Bar Counter, and a 3D Gold Bee Feature Wall.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F9F1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left w:val="single" w:sz="36" w:space="0" w:color="D4AF37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Segoe UI Semibold" w:hAnsi="Segoe UI Semibold"/>
                <w:color w:val="B8860B"/>
                <w:sz w:val="24"/>
              </w:rPr>
              <w:t>✦ THE 'UNLIMITED' ADVANTAGE ✦</w:t>
              <w:br/>
            </w:r>
            <w:r>
              <w:rPr>
                <w:rFonts w:ascii="Georgia" w:hAnsi="Georgia"/>
                <w:color w:val="222222"/>
                <w:sz w:val="22"/>
              </w:rPr>
              <w:t>The commercial catalyst is the Unlimited Food + Spirits Package. Structured legally as an 'Unlimited Food + Complimentary FeraBee Tasting', it offers extreme value to customers while locking in a guaranteed 61% profit margin for franchisees.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D4AF37"/>
          <w:bottom w:val="single" w:sz="12" w:space="0" w:color="D4AF37"/>
          <w:insideH w:val="single" w:sz="4" w:space="0" w:color="EFEFEF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1111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D700"/>
                <w:sz w:val="20"/>
              </w:rPr>
              <w:t>Tier Package</w:t>
            </w:r>
          </w:p>
        </w:tc>
        <w:tc>
          <w:tcPr>
            <w:tcW w:type="dxa" w:w="3312"/>
            <w:shd w:fill="11111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D700"/>
                <w:sz w:val="20"/>
              </w:rPr>
              <w:t>Offering Details</w:t>
            </w:r>
          </w:p>
        </w:tc>
        <w:tc>
          <w:tcPr>
            <w:tcW w:type="dxa" w:w="3312"/>
            <w:shd w:fill="11111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D700"/>
                <w:sz w:val="20"/>
              </w:rPr>
              <w:t>Net Profit / Guest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SILVER HIVE (₹999)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Lunch: Unlimited Beer + Vodka/Rum + Veg Food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44444"/>
                <w:sz w:val="20"/>
              </w:rPr>
              <w:t>₹619 (62% Margin)</w:t>
            </w:r>
          </w:p>
        </w:tc>
      </w:tr>
      <w:tr>
        <w:tc>
          <w:tcPr>
            <w:tcW w:type="dxa" w:w="331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GOLD BEE (₹1,499)</w:t>
            </w:r>
          </w:p>
        </w:tc>
        <w:tc>
          <w:tcPr>
            <w:tcW w:type="dxa" w:w="331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Dinner: Unlimited Spirits + 7 Starters + Main</w:t>
            </w:r>
          </w:p>
        </w:tc>
        <w:tc>
          <w:tcPr>
            <w:tcW w:type="dxa" w:w="331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44444"/>
                <w:sz w:val="20"/>
              </w:rPr>
              <w:t>₹919 (61% Margin)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PLATINUM (₹1,999)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Weekends: All Spirits + Seafood + Live BBQ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44444"/>
                <w:sz w:val="20"/>
              </w:rPr>
              <w:t>₹1,219 (61% Margin)</w:t>
            </w:r>
          </w:p>
        </w:tc>
      </w:tr>
    </w:tbl>
    <w:p>
      <w:pPr>
        <w:spacing w:after="240"/>
      </w:pPr>
    </w:p>
    <w:p>
      <w:pPr>
        <w:spacing w:before="480" w:after="160"/>
      </w:pPr>
      <w:r>
        <w:rPr>
          <w:rFonts w:ascii="Arial" w:hAnsi="Arial"/>
          <w:color w:val="D4AF37"/>
          <w:sz w:val="36"/>
        </w:rPr>
        <w:t xml:space="preserve">┃  </w:t>
      </w:r>
      <w:r>
        <w:rPr>
          <w:rFonts w:ascii="Segoe UI" w:hAnsi="Segoe UI"/>
          <w:b/>
          <w:color w:val="1A1A1A"/>
          <w:sz w:val="32"/>
        </w:rPr>
        <w:t>4. Franchise Unit Economics</w:t>
      </w:r>
    </w:p>
    <w:p>
      <w:pPr>
        <w:spacing w:after="160" w:line="288" w:lineRule="auto"/>
      </w:pPr>
      <w:r>
        <w:rPr>
          <w:rFonts w:ascii="Georgia" w:hAnsi="Georgia"/>
          <w:color w:val="333333"/>
          <w:sz w:val="22"/>
        </w:rPr>
        <w:t>Based on conservative estimates of 105 guests per day at the Gold Tier and 45 A La Carte guests, the franchise model yields exceptional returns.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D4AF37"/>
          <w:bottom w:val="single" w:sz="12" w:space="0" w:color="D4AF37"/>
          <w:insideH w:val="single" w:sz="4" w:space="0" w:color="EFEFEF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968"/>
            <w:shd w:fill="11111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D700"/>
                <w:sz w:val="20"/>
              </w:rPr>
              <w:t>P&amp;L Item Category</w:t>
            </w:r>
          </w:p>
        </w:tc>
        <w:tc>
          <w:tcPr>
            <w:tcW w:type="dxa" w:w="4968"/>
            <w:shd w:fill="11111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D700"/>
                <w:sz w:val="20"/>
              </w:rPr>
              <w:t>Monthly Amount (₹)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Total Monthly Revenue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44444"/>
                <w:sz w:val="20"/>
              </w:rPr>
              <w:t>₹50,86,770</w:t>
            </w:r>
          </w:p>
        </w:tc>
      </w:tr>
      <w:tr>
        <w:tc>
          <w:tcPr>
            <w:tcW w:type="dxa" w:w="4968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Gross Profit (61% Margin)</w:t>
            </w:r>
          </w:p>
        </w:tc>
        <w:tc>
          <w:tcPr>
            <w:tcW w:type="dxa" w:w="4968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44444"/>
                <w:sz w:val="20"/>
              </w:rPr>
              <w:t>₹31,00,000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Less: Monthly Opex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44444"/>
                <w:sz w:val="20"/>
              </w:rPr>
              <w:t>₹6,44,000</w:t>
            </w:r>
          </w:p>
        </w:tc>
      </w:tr>
      <w:tr>
        <w:tc>
          <w:tcPr>
            <w:tcW w:type="dxa" w:w="4968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NET PROFIT (MONTHLY)</w:t>
            </w:r>
          </w:p>
        </w:tc>
        <w:tc>
          <w:tcPr>
            <w:tcW w:type="dxa" w:w="4968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44444"/>
                <w:sz w:val="20"/>
              </w:rPr>
              <w:t>₹24,50,000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FRANCHISE PAYBACK PERIOD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44444"/>
                <w:sz w:val="20"/>
              </w:rPr>
              <w:t>4.7 MONTHS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4AF37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Segoe UI Black" w:hAnsi="Segoe UI Black"/>
                <w:color w:val="111111"/>
                <w:sz w:val="40"/>
              </w:rPr>
              <w:t>FINANCIAL PROJECTIONS &amp; EXIT</w:t>
            </w:r>
          </w:p>
        </w:tc>
      </w:tr>
    </w:tbl>
    <w:p>
      <w:pPr>
        <w:spacing w:after="240"/>
      </w:pPr>
    </w:p>
    <w:p>
      <w:pPr>
        <w:spacing w:before="480" w:after="160"/>
      </w:pPr>
      <w:r>
        <w:rPr>
          <w:rFonts w:ascii="Arial" w:hAnsi="Arial"/>
          <w:color w:val="D4AF37"/>
          <w:sz w:val="36"/>
        </w:rPr>
        <w:t xml:space="preserve">┃  </w:t>
      </w:r>
      <w:r>
        <w:rPr>
          <w:rFonts w:ascii="Segoe UI" w:hAnsi="Segoe UI"/>
          <w:b/>
          <w:color w:val="1A1A1A"/>
          <w:sz w:val="32"/>
        </w:rPr>
        <w:t>5. Investment Ask &amp; Cap Table</w:t>
      </w:r>
    </w:p>
    <w:p>
      <w:pPr>
        <w:spacing w:after="160" w:line="288" w:lineRule="auto"/>
      </w:pPr>
      <w:r>
        <w:rPr>
          <w:rFonts w:ascii="Georgia" w:hAnsi="Georgia"/>
          <w:color w:val="333333"/>
          <w:sz w:val="22"/>
        </w:rPr>
        <w:t>The capital structure combines founders equity, bank cash credit limits, and an equity raise to fund national expansion.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D4AF37"/>
          <w:bottom w:val="single" w:sz="12" w:space="0" w:color="D4AF37"/>
          <w:insideH w:val="single" w:sz="4" w:space="0" w:color="EFEFEF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1111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D700"/>
                <w:sz w:val="20"/>
              </w:rPr>
              <w:t>Capital Source</w:t>
            </w:r>
          </w:p>
        </w:tc>
        <w:tc>
          <w:tcPr>
            <w:tcW w:type="dxa" w:w="3312"/>
            <w:shd w:fill="11111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D700"/>
                <w:sz w:val="20"/>
              </w:rPr>
              <w:t>Amount (₹)</w:t>
            </w:r>
          </w:p>
        </w:tc>
        <w:tc>
          <w:tcPr>
            <w:tcW w:type="dxa" w:w="3312"/>
            <w:shd w:fill="111111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D700"/>
                <w:sz w:val="20"/>
              </w:rPr>
              <w:t>Terms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Founders Paid-Up Equity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₹50,00,000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44444"/>
                <w:sz w:val="20"/>
              </w:rPr>
              <w:t>51% : 49%</w:t>
            </w:r>
          </w:p>
        </w:tc>
      </w:tr>
      <w:tr>
        <w:tc>
          <w:tcPr>
            <w:tcW w:type="dxa" w:w="331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Bank Cash Credit (CC)</w:t>
            </w:r>
          </w:p>
        </w:tc>
        <w:tc>
          <w:tcPr>
            <w:tcW w:type="dxa" w:w="331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₹3,50,00,000</w:t>
            </w:r>
          </w:p>
        </w:tc>
        <w:tc>
          <w:tcPr>
            <w:tcW w:type="dxa" w:w="331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44444"/>
                <w:sz w:val="20"/>
              </w:rPr>
              <w:t>Secured Facility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External Equity Raise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₹18,00,00,000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44444"/>
                <w:sz w:val="20"/>
              </w:rPr>
              <w:t>25.0% Stake</w:t>
            </w:r>
          </w:p>
        </w:tc>
      </w:tr>
      <w:tr>
        <w:tc>
          <w:tcPr>
            <w:tcW w:type="dxa" w:w="331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TOTAL CAPITALIZATION</w:t>
            </w:r>
          </w:p>
        </w:tc>
        <w:tc>
          <w:tcPr>
            <w:tcW w:type="dxa" w:w="331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color w:val="444444"/>
                <w:sz w:val="20"/>
              </w:rPr>
              <w:t>₹22,00,00,000</w:t>
            </w:r>
          </w:p>
        </w:tc>
        <w:tc>
          <w:tcPr>
            <w:tcW w:type="dxa" w:w="3312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color w:val="444444"/>
                <w:sz w:val="20"/>
              </w:rPr>
              <w:t>Operational Runway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F9F1"/>
            <w:tcMar>
              <w:top w:w="150" w:type="dxa"/>
              <w:bottom w:w="150" w:type="dxa"/>
              <w:left w:w="200" w:type="dxa"/>
              <w:right w:w="200" w:type="dxa"/>
            </w:tcMar>
            <w:tcBorders>
              <w:left w:val="single" w:sz="36" w:space="0" w:color="D4AF37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Segoe UI Semibold" w:hAnsi="Segoe UI Semibold"/>
                <w:color w:val="B8860B"/>
                <w:sz w:val="24"/>
              </w:rPr>
              <w:t>✦ YEAR 3 INVESTOR RETURN ✦</w:t>
              <w:br/>
            </w:r>
            <w:r>
              <w:rPr>
                <w:rFonts w:ascii="Georgia" w:hAnsi="Georgia"/>
                <w:color w:val="222222"/>
                <w:sz w:val="22"/>
              </w:rPr>
              <w:t>At Year 3, based on a conservative 10.0x EBITDA multiple on a projected ₹78.0 Crore EBITDA, FeraBee will achieve an Enterprise Valuation of ₹780.0 Crore. The investor's 25% equity stake will be valued at ₹195.0 Crore, representing an estimated 10.8X Return on Investment over 36 months.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