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In crafting the design for our blockchain wallet application, I prioritized user needs, usability, and alignment with our overarching goals. To achieve this,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I adopted a user-centric approach informed by thorough research and analysis of user behaviours and preferences. This guided our decision to simplify the authentication process, ensuring seamless integration with MetaMask or other wallet solutions while maintaining robust security measures.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In designing the home screen, I focused on providing users with a clear overview of their financial assets, and essential account information. This prioritisation of clarity and ease of navigation aims to empower users to manage their finances efficiently.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Incorporated minimal visual elements, such as subtle imagery and security, essential components in the realm of financial applications. Throughout the design process, I maintained consistency in visual elements, including colour schemes, typography, and iconography, to reinforce our branding and ensure a cohesive user experience across different screens and devices.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These design decisions collectively contribute to a futuristic visually appealing and intuitive interface that fosters user trust, enhances usability, and ultimately advances the goals of our blockchain wallet application.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Colour /Theme justification:</w:t>
      </w:r>
      <w:r w:rsidDel="00000000" w:rsidR="00000000" w:rsidRPr="00000000">
        <w:rPr>
          <w:rtl w:val="0"/>
        </w:rPr>
        <w:t xml:space="preserve"> The decision to utilize a dark colour theme with a glass morphic effect stems from a deliberate consideration of both aesthetics and functionality. Dark colour themes not only provide a sleek and modern appearance but also offer practical benefits such as reducing eye strain, particularly in low-light environments, which is often the case when users are managing their finances in the evening or at night. Additionally, dark backgrounds allow vibrant colours and content to pop, enhancing visibility and readability.</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glassmorphic effect, characterized by translucent and blurred elements, adds a layer of depth and sophistication to the design. This effect not only aligns with contemporary design trends but also imparts a sense of transparency and openness, reflecting the core principles of blockchain technology - transparency and decentralization. Furthermore, the glassmorphic effect contributes to the overall user experience by providing visual cues that elements are interactive, thereby improving usability and intuitiveness.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Font justification:</w:t>
      </w:r>
      <w:r w:rsidDel="00000000" w:rsidR="00000000" w:rsidRPr="00000000">
        <w:rPr>
          <w:rtl w:val="0"/>
        </w:rPr>
        <w:t xml:space="preserve"> Choosing the Satoshi font reinforces the application's connection to blockchain technology and its origins. Named after the pseudonymous creator of Bitcoin, Satoshi Nakamoto, this font choice evokes credibility and authenticity within the cryptocurrency community. Moreover, the Satoshi font's clean and modern appearance enhances readability across various screen sizes, ensuring a seamless user experience.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Icons justification:</w:t>
      </w:r>
      <w:r w:rsidDel="00000000" w:rsidR="00000000" w:rsidRPr="00000000">
        <w:rPr>
          <w:rtl w:val="0"/>
        </w:rPr>
        <w:t xml:space="preserve"> Incorporating linear and minimal icons complements the overall design aesthetic and reinforces the application's focus on simplicity and ease of use. Minimalist icons reduce visual clutter while maintaining clarity and intuitiveness, guiding users effortlessly through different functions and features of the app. Linear icons, characterized by clean lines and geometric shapes, align with modern design trends and contribute to a cohesive visual language throughout the application.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Visual elements justification</w:t>
      </w:r>
      <w:r w:rsidDel="00000000" w:rsidR="00000000" w:rsidRPr="00000000">
        <w:rPr>
          <w:rtl w:val="0"/>
        </w:rPr>
        <w:t xml:space="preserve">: Visual elements such as the glassmorphic effect, dark colour theme, Satoshi font, and minimal icons are carefully chosen to align with the branding and target audience of the blockchain wallet application. By leveraging these design elements, we create a visually appealing and cohesive interface that resonates with users interested in blockchain technology. The combination of dark colours, glassmorphic effects, Satoshi font, and minimal icons reflects the application's commitment to innovation, transparency, and user-centric design, ultimately enhancing the overall user experience and fostering trust and engagement.</w:t>
      </w:r>
    </w:p>
    <w:p w:rsidR="00000000" w:rsidDel="00000000" w:rsidP="00000000" w:rsidRDefault="00000000" w:rsidRPr="00000000" w14:paraId="00000014">
      <w:pPr>
        <w:rPr/>
      </w:pPr>
      <w:r w:rsidDel="00000000" w:rsidR="00000000" w:rsidRPr="00000000">
        <w:rPr>
          <w:rtl w:val="0"/>
        </w:rPr>
        <w:t xml:space="preserve">       </w:t>
      </w:r>
    </w:p>
    <w:p w:rsidR="00000000" w:rsidDel="00000000" w:rsidP="00000000" w:rsidRDefault="00000000" w:rsidRPr="00000000" w14:paraId="0000001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