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EDE" w:rsidRDefault="00765EDE" w:rsidP="00765EDE">
      <w:pPr>
        <w:shd w:val="clear" w:color="auto" w:fill="FFFFFF"/>
        <w:spacing w:after="100" w:afterAutospacing="1" w:line="240" w:lineRule="auto"/>
        <w:jc w:val="both"/>
        <w:rPr>
          <w:rFonts w:ascii="open_sansregular" w:eastAsia="Times New Roman" w:hAnsi="open_sansregular" w:cs="Times New Roman"/>
          <w:color w:val="353535"/>
          <w:sz w:val="24"/>
          <w:szCs w:val="24"/>
        </w:rPr>
      </w:pPr>
    </w:p>
    <w:p w:rsidR="00765EDE" w:rsidRPr="00765EDE" w:rsidRDefault="00765EDE" w:rsidP="00765EDE">
      <w:pPr>
        <w:shd w:val="clear" w:color="auto" w:fill="FFFFFF"/>
        <w:spacing w:after="100" w:afterAutospacing="1" w:line="240" w:lineRule="auto"/>
        <w:jc w:val="center"/>
        <w:rPr>
          <w:rFonts w:ascii="open_sansregular" w:eastAsia="Times New Roman" w:hAnsi="open_sansregular" w:cs="Times New Roman"/>
          <w:b/>
          <w:color w:val="353535"/>
          <w:sz w:val="32"/>
          <w:szCs w:val="32"/>
        </w:rPr>
      </w:pPr>
      <w:r w:rsidRPr="00765EDE">
        <w:rPr>
          <w:rFonts w:ascii="open_sansregular" w:eastAsia="Times New Roman" w:hAnsi="open_sansregular" w:cs="Times New Roman"/>
          <w:b/>
          <w:color w:val="353535"/>
          <w:sz w:val="32"/>
          <w:szCs w:val="32"/>
        </w:rPr>
        <w:t xml:space="preserve">2.4 analysis of area </w:t>
      </w:r>
      <w:proofErr w:type="spellStart"/>
      <w:r w:rsidRPr="00765EDE">
        <w:rPr>
          <w:rFonts w:ascii="open_sansregular" w:eastAsia="Times New Roman" w:hAnsi="open_sansregular" w:cs="Times New Roman"/>
          <w:b/>
          <w:color w:val="353535"/>
          <w:sz w:val="32"/>
          <w:szCs w:val="32"/>
        </w:rPr>
        <w:t>vs</w:t>
      </w:r>
      <w:proofErr w:type="spellEnd"/>
      <w:r w:rsidRPr="00765EDE">
        <w:rPr>
          <w:rFonts w:ascii="open_sansregular" w:eastAsia="Times New Roman" w:hAnsi="open_sansregular" w:cs="Times New Roman"/>
          <w:b/>
          <w:color w:val="353535"/>
          <w:sz w:val="32"/>
          <w:szCs w:val="32"/>
        </w:rPr>
        <w:t xml:space="preserve"> overall crime in </w:t>
      </w:r>
      <w:proofErr w:type="spellStart"/>
      <w:proofErr w:type="gramStart"/>
      <w:r w:rsidRPr="00765EDE">
        <w:rPr>
          <w:rFonts w:ascii="open_sansregular" w:eastAsia="Times New Roman" w:hAnsi="open_sansregular" w:cs="Times New Roman"/>
          <w:b/>
          <w:color w:val="353535"/>
          <w:sz w:val="32"/>
          <w:szCs w:val="32"/>
        </w:rPr>
        <w:t>india</w:t>
      </w:r>
      <w:proofErr w:type="spellEnd"/>
      <w:proofErr w:type="gramEnd"/>
    </w:p>
    <w:p w:rsidR="00765EDE" w:rsidRPr="00765EDE" w:rsidRDefault="00765EDE" w:rsidP="00765EDE">
      <w:pPr>
        <w:shd w:val="clear" w:color="auto" w:fill="FFFFFF"/>
        <w:spacing w:after="100" w:afterAutospacing="1" w:line="240" w:lineRule="auto"/>
        <w:jc w:val="both"/>
        <w:rPr>
          <w:rFonts w:ascii="open_sansregular" w:eastAsia="Times New Roman" w:hAnsi="open_sansregular" w:cs="Times New Roman"/>
          <w:color w:val="353535"/>
          <w:sz w:val="24"/>
          <w:szCs w:val="24"/>
        </w:rPr>
      </w:pPr>
      <w:r w:rsidRPr="00765EDE">
        <w:rPr>
          <w:rFonts w:ascii="open_sansregular" w:eastAsia="Times New Roman" w:hAnsi="open_sansregular" w:cs="Times New Roman"/>
          <w:color w:val="353535"/>
          <w:sz w:val="24"/>
          <w:szCs w:val="24"/>
        </w:rPr>
        <w:t xml:space="preserve">This is the oldest and the most prestigious publication brought out by NCRB. The data for the report is collected by State Crime Records </w:t>
      </w:r>
      <w:proofErr w:type="spellStart"/>
      <w:r w:rsidRPr="00765EDE">
        <w:rPr>
          <w:rFonts w:ascii="open_sansregular" w:eastAsia="Times New Roman" w:hAnsi="open_sansregular" w:cs="Times New Roman"/>
          <w:color w:val="353535"/>
          <w:sz w:val="24"/>
          <w:szCs w:val="24"/>
        </w:rPr>
        <w:t>Bureaux</w:t>
      </w:r>
      <w:proofErr w:type="spellEnd"/>
      <w:r w:rsidRPr="00765EDE">
        <w:rPr>
          <w:rFonts w:ascii="open_sansregular" w:eastAsia="Times New Roman" w:hAnsi="open_sansregular" w:cs="Times New Roman"/>
          <w:color w:val="353535"/>
          <w:sz w:val="24"/>
          <w:szCs w:val="24"/>
        </w:rPr>
        <w:t xml:space="preserve"> (</w:t>
      </w:r>
      <w:proofErr w:type="spellStart"/>
      <w:r w:rsidRPr="00765EDE">
        <w:rPr>
          <w:rFonts w:ascii="open_sansregular" w:eastAsia="Times New Roman" w:hAnsi="open_sansregular" w:cs="Times New Roman"/>
          <w:color w:val="353535"/>
          <w:sz w:val="24"/>
          <w:szCs w:val="24"/>
        </w:rPr>
        <w:t>SCRBx</w:t>
      </w:r>
      <w:proofErr w:type="spellEnd"/>
      <w:r w:rsidRPr="00765EDE">
        <w:rPr>
          <w:rFonts w:ascii="open_sansregular" w:eastAsia="Times New Roman" w:hAnsi="open_sansregular" w:cs="Times New Roman"/>
          <w:color w:val="353535"/>
          <w:sz w:val="24"/>
          <w:szCs w:val="24"/>
        </w:rPr>
        <w:t xml:space="preserve">) from the District Crime Records </w:t>
      </w:r>
      <w:proofErr w:type="spellStart"/>
      <w:r w:rsidRPr="00765EDE">
        <w:rPr>
          <w:rFonts w:ascii="open_sansregular" w:eastAsia="Times New Roman" w:hAnsi="open_sansregular" w:cs="Times New Roman"/>
          <w:color w:val="353535"/>
          <w:sz w:val="24"/>
          <w:szCs w:val="24"/>
        </w:rPr>
        <w:t>Bureaux</w:t>
      </w:r>
      <w:proofErr w:type="spellEnd"/>
      <w:r w:rsidRPr="00765EDE">
        <w:rPr>
          <w:rFonts w:ascii="open_sansregular" w:eastAsia="Times New Roman" w:hAnsi="open_sansregular" w:cs="Times New Roman"/>
          <w:color w:val="353535"/>
          <w:sz w:val="24"/>
          <w:szCs w:val="24"/>
        </w:rPr>
        <w:t xml:space="preserve"> (</w:t>
      </w:r>
      <w:proofErr w:type="spellStart"/>
      <w:r w:rsidRPr="00765EDE">
        <w:rPr>
          <w:rFonts w:ascii="open_sansregular" w:eastAsia="Times New Roman" w:hAnsi="open_sansregular" w:cs="Times New Roman"/>
          <w:color w:val="353535"/>
          <w:sz w:val="24"/>
          <w:szCs w:val="24"/>
        </w:rPr>
        <w:t>DCRBx</w:t>
      </w:r>
      <w:proofErr w:type="spellEnd"/>
      <w:r w:rsidRPr="00765EDE">
        <w:rPr>
          <w:rFonts w:ascii="open_sansregular" w:eastAsia="Times New Roman" w:hAnsi="open_sansregular" w:cs="Times New Roman"/>
          <w:color w:val="353535"/>
          <w:sz w:val="24"/>
          <w:szCs w:val="24"/>
        </w:rPr>
        <w:t xml:space="preserve">) and sent to NCRB at the end of every calendar year under the reference. Data from mega-cities (cities having population of 10 </w:t>
      </w:r>
      <w:proofErr w:type="spellStart"/>
      <w:r w:rsidRPr="00765EDE">
        <w:rPr>
          <w:rFonts w:ascii="open_sansregular" w:eastAsia="Times New Roman" w:hAnsi="open_sansregular" w:cs="Times New Roman"/>
          <w:color w:val="353535"/>
          <w:sz w:val="24"/>
          <w:szCs w:val="24"/>
        </w:rPr>
        <w:t>lakh</w:t>
      </w:r>
      <w:proofErr w:type="spellEnd"/>
      <w:r w:rsidRPr="00765EDE">
        <w:rPr>
          <w:rFonts w:ascii="open_sansregular" w:eastAsia="Times New Roman" w:hAnsi="open_sansregular" w:cs="Times New Roman"/>
          <w:color w:val="353535"/>
          <w:sz w:val="24"/>
          <w:szCs w:val="24"/>
        </w:rPr>
        <w:t xml:space="preserve"> or more as per the latest census) is also collected separately. District-wise data on some IPC heads is collected and published separately. The first edition of 'Crime in India' pertains to the year 1953 and the latest edition of the report pertains to the </w:t>
      </w:r>
      <w:hyperlink r:id="rId5" w:history="1">
        <w:r w:rsidRPr="00765EDE">
          <w:rPr>
            <w:rFonts w:ascii="open_sansregular" w:eastAsia="Times New Roman" w:hAnsi="open_sansregular" w:cs="Times New Roman"/>
            <w:color w:val="007BFF"/>
            <w:sz w:val="24"/>
            <w:szCs w:val="24"/>
            <w:u w:val="single"/>
          </w:rPr>
          <w:t>year 2021.</w:t>
        </w:r>
      </w:hyperlink>
    </w:p>
    <w:p w:rsidR="00765EDE" w:rsidRPr="00765EDE" w:rsidRDefault="00765EDE" w:rsidP="00765EDE">
      <w:pPr>
        <w:shd w:val="clear" w:color="auto" w:fill="FFFFFF"/>
        <w:spacing w:after="100" w:afterAutospacing="1" w:line="240" w:lineRule="auto"/>
        <w:outlineLvl w:val="1"/>
        <w:rPr>
          <w:rFonts w:ascii="open_sanssemibold" w:eastAsia="Times New Roman" w:hAnsi="open_sanssemibold" w:cs="Times New Roman"/>
          <w:color w:val="212529"/>
          <w:sz w:val="24"/>
          <w:szCs w:val="24"/>
        </w:rPr>
      </w:pPr>
      <w:r w:rsidRPr="00765EDE">
        <w:rPr>
          <w:rFonts w:ascii="open_sanssemibold" w:eastAsia="Times New Roman" w:hAnsi="open_sanssemibold" w:cs="Times New Roman"/>
          <w:color w:val="212529"/>
          <w:sz w:val="24"/>
          <w:szCs w:val="24"/>
        </w:rPr>
        <w:t>Scope:</w:t>
      </w:r>
    </w:p>
    <w:p w:rsidR="00765EDE" w:rsidRPr="00765EDE" w:rsidRDefault="00765EDE" w:rsidP="00765EDE">
      <w:pPr>
        <w:shd w:val="clear" w:color="auto" w:fill="FFFFFF"/>
        <w:spacing w:after="100" w:afterAutospacing="1" w:line="240" w:lineRule="auto"/>
        <w:jc w:val="both"/>
        <w:rPr>
          <w:rFonts w:ascii="open_sansregular" w:eastAsia="Times New Roman" w:hAnsi="open_sansregular" w:cs="Times New Roman"/>
          <w:color w:val="353535"/>
          <w:sz w:val="24"/>
          <w:szCs w:val="24"/>
        </w:rPr>
      </w:pPr>
      <w:r w:rsidRPr="00765EDE">
        <w:rPr>
          <w:rFonts w:ascii="open_sansregular" w:eastAsia="Times New Roman" w:hAnsi="open_sansregular" w:cs="Times New Roman"/>
          <w:color w:val="353535"/>
          <w:sz w:val="24"/>
          <w:szCs w:val="24"/>
        </w:rPr>
        <w:t>The report contains comprehensive information on:</w:t>
      </w:r>
    </w:p>
    <w:p w:rsidR="00765EDE" w:rsidRPr="00765EDE" w:rsidRDefault="00765EDE" w:rsidP="00765EDE">
      <w:pPr>
        <w:numPr>
          <w:ilvl w:val="0"/>
          <w:numId w:val="1"/>
        </w:numPr>
        <w:shd w:val="clear" w:color="auto" w:fill="FFFFFF"/>
        <w:spacing w:after="50" w:line="240" w:lineRule="auto"/>
        <w:ind w:left="100"/>
        <w:rPr>
          <w:rFonts w:ascii="open_sansregular" w:eastAsia="Times New Roman" w:hAnsi="open_sansregular" w:cs="Times New Roman"/>
          <w:color w:val="353535"/>
          <w:sz w:val="24"/>
          <w:szCs w:val="24"/>
        </w:rPr>
      </w:pPr>
      <w:r w:rsidRPr="00765EDE">
        <w:rPr>
          <w:rFonts w:ascii="open_sansregular" w:eastAsia="Times New Roman" w:hAnsi="open_sansregular" w:cs="Times New Roman"/>
          <w:color w:val="353535"/>
          <w:sz w:val="24"/>
          <w:szCs w:val="24"/>
        </w:rPr>
        <w:t>cases registered and their disposal and</w:t>
      </w:r>
    </w:p>
    <w:p w:rsidR="00765EDE" w:rsidRPr="00765EDE" w:rsidRDefault="00765EDE" w:rsidP="00765EDE">
      <w:pPr>
        <w:numPr>
          <w:ilvl w:val="0"/>
          <w:numId w:val="1"/>
        </w:numPr>
        <w:shd w:val="clear" w:color="auto" w:fill="FFFFFF"/>
        <w:spacing w:after="50" w:line="240" w:lineRule="auto"/>
        <w:ind w:left="100"/>
        <w:rPr>
          <w:rFonts w:ascii="open_sansregular" w:eastAsia="Times New Roman" w:hAnsi="open_sansregular" w:cs="Times New Roman"/>
          <w:color w:val="353535"/>
          <w:sz w:val="24"/>
          <w:szCs w:val="24"/>
        </w:rPr>
      </w:pPr>
      <w:r w:rsidRPr="00765EDE">
        <w:rPr>
          <w:rFonts w:ascii="open_sansregular" w:eastAsia="Times New Roman" w:hAnsi="open_sansregular" w:cs="Times New Roman"/>
          <w:color w:val="353535"/>
          <w:sz w:val="24"/>
          <w:szCs w:val="24"/>
        </w:rPr>
        <w:t>persons arrested and their disposal</w:t>
      </w:r>
    </w:p>
    <w:p w:rsidR="00765EDE" w:rsidRPr="00765EDE" w:rsidRDefault="00765EDE" w:rsidP="00765EDE">
      <w:pPr>
        <w:shd w:val="clear" w:color="auto" w:fill="FFFFFF"/>
        <w:spacing w:after="100" w:afterAutospacing="1" w:line="240" w:lineRule="auto"/>
        <w:jc w:val="both"/>
        <w:rPr>
          <w:rFonts w:ascii="open_sansregular" w:eastAsia="Times New Roman" w:hAnsi="open_sansregular" w:cs="Times New Roman"/>
          <w:color w:val="353535"/>
          <w:sz w:val="24"/>
          <w:szCs w:val="24"/>
        </w:rPr>
      </w:pPr>
      <w:proofErr w:type="gramStart"/>
      <w:r w:rsidRPr="00765EDE">
        <w:rPr>
          <w:rFonts w:ascii="open_sansregular" w:eastAsia="Times New Roman" w:hAnsi="open_sansregular" w:cs="Times New Roman"/>
          <w:color w:val="353535"/>
          <w:sz w:val="24"/>
          <w:szCs w:val="24"/>
        </w:rPr>
        <w:t>Under major heads of Indian Penal Codes and Special &amp; Local Laws.</w:t>
      </w:r>
      <w:proofErr w:type="gramEnd"/>
      <w:r w:rsidRPr="00765EDE">
        <w:rPr>
          <w:rFonts w:ascii="open_sansregular" w:eastAsia="Times New Roman" w:hAnsi="open_sansregular" w:cs="Times New Roman"/>
          <w:color w:val="353535"/>
          <w:sz w:val="24"/>
          <w:szCs w:val="24"/>
        </w:rPr>
        <w:t xml:space="preserve"> Further, age-group-wise and sex-wise details of persons arrested under these crime-heads are also available in the report. The report contains a dedicated chapter on crime against some vulnerable sections of the society - women, children, Scheduled Castes / Scheduled Tribes and senior citizens. The above crime data is presented in graphic / chart format, table format and map format.</w:t>
      </w:r>
    </w:p>
    <w:p w:rsidR="00765EDE" w:rsidRPr="00765EDE" w:rsidRDefault="00765EDE" w:rsidP="00765EDE">
      <w:pPr>
        <w:shd w:val="clear" w:color="auto" w:fill="FFFFFF"/>
        <w:spacing w:after="100" w:afterAutospacing="1" w:line="240" w:lineRule="auto"/>
        <w:outlineLvl w:val="1"/>
        <w:rPr>
          <w:rFonts w:ascii="open_sanssemibold" w:eastAsia="Times New Roman" w:hAnsi="open_sanssemibold" w:cs="Times New Roman"/>
          <w:color w:val="212529"/>
          <w:sz w:val="24"/>
          <w:szCs w:val="24"/>
        </w:rPr>
      </w:pPr>
      <w:r w:rsidRPr="00765EDE">
        <w:rPr>
          <w:rFonts w:ascii="open_sanssemibold" w:eastAsia="Times New Roman" w:hAnsi="open_sanssemibold" w:cs="Times New Roman"/>
          <w:color w:val="212529"/>
          <w:sz w:val="24"/>
          <w:szCs w:val="24"/>
        </w:rPr>
        <w:t>Salient Fields</w:t>
      </w:r>
    </w:p>
    <w:p w:rsidR="00765EDE" w:rsidRPr="00765EDE" w:rsidRDefault="00765EDE" w:rsidP="00765EDE">
      <w:pPr>
        <w:shd w:val="clear" w:color="auto" w:fill="FFFFFF"/>
        <w:spacing w:after="100" w:afterAutospacing="1" w:line="240" w:lineRule="auto"/>
        <w:jc w:val="both"/>
        <w:rPr>
          <w:rFonts w:ascii="open_sansregular" w:eastAsia="Times New Roman" w:hAnsi="open_sansregular" w:cs="Times New Roman"/>
          <w:color w:val="353535"/>
          <w:sz w:val="24"/>
          <w:szCs w:val="24"/>
        </w:rPr>
      </w:pPr>
      <w:r w:rsidRPr="00765EDE">
        <w:rPr>
          <w:rFonts w:ascii="open_sansregular" w:eastAsia="Times New Roman" w:hAnsi="open_sansregular" w:cs="Times New Roman"/>
          <w:color w:val="353535"/>
          <w:sz w:val="24"/>
          <w:szCs w:val="24"/>
        </w:rPr>
        <w:t xml:space="preserve">The report contains statistical information on cognizable crimes as reported in police stations during the reference year. Information on police casualties and police firing, police &amp; civilians casualties is given in separate chapters to ensure adequate focus to these issues. Information on complaints against police personnel and custodial crimes has also been given in separate chapters. It has been our constant </w:t>
      </w:r>
      <w:proofErr w:type="spellStart"/>
      <w:r w:rsidRPr="00765EDE">
        <w:rPr>
          <w:rFonts w:ascii="open_sansregular" w:eastAsia="Times New Roman" w:hAnsi="open_sansregular" w:cs="Times New Roman"/>
          <w:color w:val="353535"/>
          <w:sz w:val="24"/>
          <w:szCs w:val="24"/>
        </w:rPr>
        <w:t>endeavour</w:t>
      </w:r>
      <w:proofErr w:type="spellEnd"/>
      <w:r w:rsidRPr="00765EDE">
        <w:rPr>
          <w:rFonts w:ascii="open_sansregular" w:eastAsia="Times New Roman" w:hAnsi="open_sansregular" w:cs="Times New Roman"/>
          <w:color w:val="353535"/>
          <w:sz w:val="24"/>
          <w:szCs w:val="24"/>
        </w:rPr>
        <w:t xml:space="preserve"> to improve the scope, coverage, content and presentation of the publication. In this connection, the Bureau has started publication of dedicated chapters on cyber crimes, human trafficking, crime against senior citizens, crime against foreigners inter-alia foreign tourists, offences against the State, environment related offences and seizures of arms &amp; drugs by police. Besides, data on economic crimes, recidivism and crime in railways has also been given in separate chapters. Information on kidnapping and abduction is presented in respect of total population, women &amp; girls and children separately. The latest edition has a total of 25 chapters.</w:t>
      </w:r>
    </w:p>
    <w:p w:rsidR="00765EDE" w:rsidRPr="00765EDE" w:rsidRDefault="00765EDE" w:rsidP="00765EDE">
      <w:pPr>
        <w:shd w:val="clear" w:color="auto" w:fill="FFFFFF"/>
        <w:spacing w:after="100" w:afterAutospacing="1" w:line="240" w:lineRule="auto"/>
        <w:outlineLvl w:val="1"/>
        <w:rPr>
          <w:rFonts w:ascii="open_sanssemibold" w:eastAsia="Times New Roman" w:hAnsi="open_sanssemibold" w:cs="Times New Roman"/>
          <w:color w:val="212529"/>
          <w:sz w:val="24"/>
          <w:szCs w:val="24"/>
        </w:rPr>
      </w:pPr>
      <w:r w:rsidRPr="00765EDE">
        <w:rPr>
          <w:rFonts w:ascii="open_sanssemibold" w:eastAsia="Times New Roman" w:hAnsi="open_sanssemibold" w:cs="Times New Roman"/>
          <w:color w:val="212529"/>
          <w:sz w:val="24"/>
          <w:szCs w:val="24"/>
        </w:rPr>
        <w:t>Data Generates Research and Decision Making:</w:t>
      </w:r>
    </w:p>
    <w:p w:rsidR="00765EDE" w:rsidRPr="00765EDE" w:rsidRDefault="00765EDE" w:rsidP="00765EDE">
      <w:pPr>
        <w:shd w:val="clear" w:color="auto" w:fill="FFFFFF"/>
        <w:spacing w:after="100" w:afterAutospacing="1" w:line="240" w:lineRule="auto"/>
        <w:jc w:val="both"/>
        <w:rPr>
          <w:rFonts w:ascii="open_sansregular" w:eastAsia="Times New Roman" w:hAnsi="open_sansregular" w:cs="Times New Roman"/>
          <w:color w:val="353535"/>
          <w:sz w:val="24"/>
          <w:szCs w:val="24"/>
        </w:rPr>
      </w:pPr>
      <w:r w:rsidRPr="00765EDE">
        <w:rPr>
          <w:rFonts w:ascii="open_sansregular" w:eastAsia="Times New Roman" w:hAnsi="open_sansregular" w:cs="Times New Roman"/>
          <w:color w:val="353535"/>
          <w:sz w:val="24"/>
          <w:szCs w:val="24"/>
        </w:rPr>
        <w:t xml:space="preserve">The report is the only, and most comprehensive, databank available with the Government of India on the subject. The data contained in the report is used by policy makers, NGOs, researchers and public at large. Keeping in view the extensive, and increasing, dependence of various stakeholders on the information contained in the report, we have, on our own initiative, </w:t>
      </w:r>
      <w:proofErr w:type="spellStart"/>
      <w:r w:rsidRPr="00765EDE">
        <w:rPr>
          <w:rFonts w:ascii="open_sansregular" w:eastAsia="Times New Roman" w:hAnsi="open_sansregular" w:cs="Times New Roman"/>
          <w:color w:val="353535"/>
          <w:sz w:val="24"/>
          <w:szCs w:val="24"/>
        </w:rPr>
        <w:t>digitised</w:t>
      </w:r>
      <w:proofErr w:type="spellEnd"/>
      <w:r w:rsidRPr="00765EDE">
        <w:rPr>
          <w:rFonts w:ascii="open_sansregular" w:eastAsia="Times New Roman" w:hAnsi="open_sansregular" w:cs="Times New Roman"/>
          <w:color w:val="353535"/>
          <w:sz w:val="24"/>
          <w:szCs w:val="24"/>
        </w:rPr>
        <w:t xml:space="preserve"> all the editions of the report from 1953 to 2020 and made them available on our </w:t>
      </w:r>
      <w:r w:rsidRPr="00765EDE">
        <w:rPr>
          <w:rFonts w:ascii="open_sansregular" w:eastAsia="Times New Roman" w:hAnsi="open_sansregular" w:cs="Times New Roman"/>
          <w:color w:val="353535"/>
          <w:sz w:val="24"/>
          <w:szCs w:val="24"/>
        </w:rPr>
        <w:lastRenderedPageBreak/>
        <w:t>website. Besides, historical data in open source formats are also made available on Open Government Data (OGD) Platform India website </w:t>
      </w:r>
      <w:hyperlink r:id="rId6" w:tgtFrame="_blank" w:history="1">
        <w:r w:rsidRPr="00765EDE">
          <w:rPr>
            <w:rFonts w:ascii="open_sansregular" w:eastAsia="Times New Roman" w:hAnsi="open_sansregular" w:cs="Times New Roman"/>
            <w:color w:val="007BFF"/>
            <w:sz w:val="24"/>
            <w:szCs w:val="24"/>
            <w:u w:val="single"/>
          </w:rPr>
          <w:t>http://data.gov.in</w:t>
        </w:r>
      </w:hyperlink>
    </w:p>
    <w:p w:rsidR="00765EDE" w:rsidRPr="00765EDE" w:rsidRDefault="00765EDE" w:rsidP="00765EDE">
      <w:pPr>
        <w:shd w:val="clear" w:color="auto" w:fill="FFFFFF"/>
        <w:spacing w:after="100" w:afterAutospacing="1" w:line="240" w:lineRule="auto"/>
        <w:outlineLvl w:val="1"/>
        <w:rPr>
          <w:rFonts w:ascii="open_sanssemibold" w:eastAsia="Times New Roman" w:hAnsi="open_sanssemibold" w:cs="Times New Roman"/>
          <w:color w:val="212529"/>
          <w:sz w:val="24"/>
          <w:szCs w:val="24"/>
        </w:rPr>
      </w:pPr>
      <w:r w:rsidRPr="00765EDE">
        <w:rPr>
          <w:rFonts w:ascii="open_sanssemibold" w:eastAsia="Times New Roman" w:hAnsi="open_sanssemibold" w:cs="Times New Roman"/>
          <w:color w:val="212529"/>
          <w:sz w:val="24"/>
          <w:szCs w:val="24"/>
        </w:rPr>
        <w:t>Suggestions and Innovations:</w:t>
      </w:r>
    </w:p>
    <w:p w:rsidR="00765EDE" w:rsidRPr="00765EDE" w:rsidRDefault="00765EDE" w:rsidP="00765EDE">
      <w:pPr>
        <w:shd w:val="clear" w:color="auto" w:fill="FFFFFF"/>
        <w:spacing w:after="100" w:afterAutospacing="1" w:line="240" w:lineRule="auto"/>
        <w:jc w:val="both"/>
        <w:rPr>
          <w:rFonts w:ascii="open_sansregular" w:eastAsia="Times New Roman" w:hAnsi="open_sansregular" w:cs="Times New Roman"/>
          <w:color w:val="353535"/>
          <w:sz w:val="24"/>
          <w:szCs w:val="24"/>
        </w:rPr>
      </w:pPr>
      <w:r w:rsidRPr="00765EDE">
        <w:rPr>
          <w:rFonts w:ascii="open_sansregular" w:eastAsia="Times New Roman" w:hAnsi="open_sansregular" w:cs="Times New Roman"/>
          <w:color w:val="353535"/>
          <w:sz w:val="24"/>
          <w:szCs w:val="24"/>
        </w:rPr>
        <w:t>While our achievements make us proud, they do not make us complacent. The presentation of the report has also been improved over the years. Thus, a good number of graphs and maps have been included in the report recently. We are open to improving the content and presentation of the report to make it more useful to the stakeholders. We welcome any suggestion(s) from users who may like to help us in our quest for excellence.</w:t>
      </w:r>
    </w:p>
    <w:p w:rsidR="00765EDE" w:rsidRPr="00765EDE" w:rsidRDefault="00765EDE" w:rsidP="00765EDE">
      <w:pPr>
        <w:shd w:val="clear" w:color="auto" w:fill="FFFFFF"/>
        <w:spacing w:after="0" w:line="240" w:lineRule="auto"/>
        <w:rPr>
          <w:rFonts w:ascii="open_sansregular" w:eastAsia="Times New Roman" w:hAnsi="open_sansregular" w:cs="Times New Roman"/>
          <w:color w:val="212529"/>
          <w:sz w:val="24"/>
          <w:szCs w:val="24"/>
        </w:rPr>
      </w:pPr>
      <w:r w:rsidRPr="00765EDE">
        <w:rPr>
          <w:rFonts w:ascii="open_sansregular" w:eastAsia="Times New Roman" w:hAnsi="open_sansregular" w:cs="Times New Roman"/>
          <w:color w:val="212529"/>
          <w:sz w:val="24"/>
          <w:szCs w:val="24"/>
        </w:rPr>
        <w:t> </w:t>
      </w:r>
    </w:p>
    <w:p w:rsidR="00FE75FE" w:rsidRPr="00765EDE" w:rsidRDefault="00765EDE">
      <w:pPr>
        <w:rPr>
          <w:sz w:val="24"/>
          <w:szCs w:val="24"/>
        </w:rPr>
      </w:pPr>
    </w:p>
    <w:sectPr w:rsidR="00FE75FE" w:rsidRPr="00765EDE" w:rsidSect="009149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_sansregular">
    <w:altName w:val="Times New Roman"/>
    <w:panose1 w:val="00000000000000000000"/>
    <w:charset w:val="00"/>
    <w:family w:val="roman"/>
    <w:notTrueType/>
    <w:pitch w:val="default"/>
    <w:sig w:usb0="00000000" w:usb1="00000000" w:usb2="00000000" w:usb3="00000000" w:csb0="00000000" w:csb1="00000000"/>
  </w:font>
  <w:font w:name="open_sanssemi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96CC1"/>
    <w:multiLevelType w:val="multilevel"/>
    <w:tmpl w:val="0C5A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65EDE"/>
    <w:rsid w:val="006904ED"/>
    <w:rsid w:val="00765EDE"/>
    <w:rsid w:val="00914946"/>
    <w:rsid w:val="00A40E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946"/>
  </w:style>
  <w:style w:type="paragraph" w:styleId="Heading2">
    <w:name w:val="heading 2"/>
    <w:basedOn w:val="Normal"/>
    <w:link w:val="Heading2Char"/>
    <w:uiPriority w:val="9"/>
    <w:qFormat/>
    <w:rsid w:val="00765E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5E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5E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5EDE"/>
    <w:rPr>
      <w:color w:val="0000FF"/>
      <w:u w:val="single"/>
    </w:rPr>
  </w:style>
</w:styles>
</file>

<file path=word/webSettings.xml><?xml version="1.0" encoding="utf-8"?>
<w:webSettings xmlns:r="http://schemas.openxmlformats.org/officeDocument/2006/relationships" xmlns:w="http://schemas.openxmlformats.org/wordprocessingml/2006/main">
  <w:divs>
    <w:div w:id="23344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gov.in/" TargetMode="External"/><Relationship Id="rId5" Type="http://schemas.openxmlformats.org/officeDocument/2006/relationships/hyperlink" Target="https://ncrb.gov.in/en/node/37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2023-04-22T13:10:00Z</dcterms:created>
  <dcterms:modified xsi:type="dcterms:W3CDTF">2023-04-22T13:12:00Z</dcterms:modified>
</cp:coreProperties>
</file>