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A1628"/>
            <w:tcMar>
              <w:top w:w="360" w:type="dxa"/>
              <w:left w:w="360" w:type="dxa"/>
              <w:bottom w:w="360" w:type="dxa"/>
              <w:right w:w="360" w:type="dxa"/>
            </w:tcMar>
          </w:tcPr>
          <w:p>
            <w:pPr>
              <w:spacing w:after="160"/>
              <w:jc w:val="center"/>
            </w:pPr>
            <w:r>
              <w:rPr>
                <w:rFonts w:ascii="Calibri" w:hAnsi="Calibri"/>
                <w:b/>
                <w:color w:val="F59E0B"/>
                <w:sz w:val="26"/>
              </w:rPr>
              <w:t>FINACCSOLUTIONS</w:t>
            </w:r>
          </w:p>
          <w:p>
            <w:pPr>
              <w:spacing w:after="160"/>
              <w:jc w:val="center"/>
            </w:pPr>
            <w:r>
              <w:rPr>
                <w:rFonts w:ascii="Calibri" w:hAnsi="Calibri"/>
                <w:b/>
                <w:color w:val="FFFFFF"/>
                <w:sz w:val="52"/>
              </w:rPr>
              <w:t>Strategic Audit &amp; Growth Playbook</w:t>
            </w:r>
          </w:p>
          <w:p>
            <w:pPr>
              <w:spacing w:after="160"/>
              <w:jc w:val="center"/>
            </w:pPr>
            <w:r>
              <w:rPr>
                <w:rFonts w:ascii="Calibri" w:hAnsi="Calibri"/>
                <w:color w:val="A0BCF0"/>
                <w:sz w:val="26"/>
              </w:rPr>
              <w:t>Design · Content · SEO · Lead Generation</w:t>
            </w:r>
          </w:p>
          <w:p>
            <w:pPr>
              <w:jc w:val="center"/>
            </w:pPr>
            <w:r>
              <w:rPr>
                <w:rFonts w:ascii="Calibri" w:hAnsi="Calibri"/>
                <w:color w:val="94A3B8"/>
                <w:sz w:val="22"/>
              </w:rPr>
              <w:t>May 2026</w:t>
            </w:r>
          </w:p>
        </w:tc>
      </w:tr>
    </w:tbl>
    <w:p/>
    <w:p>
      <w:pPr>
        <w:spacing w:before="360" w:after="120"/>
        <w:jc w:val="left"/>
        <w:pBdr>
          <w:bottom w:val="single" w:sz="6" w:space="2" w:color="1B4FD8"/>
        </w:pBdr>
      </w:pPr>
      <w:r>
        <w:rPr>
          <w:rFonts w:ascii="Calibri" w:hAnsi="Calibri"/>
          <w:b/>
          <w:color w:val="0A1628"/>
          <w:sz w:val="36"/>
        </w:rPr>
        <w:t>1. Executive Summary</w:t>
      </w:r>
    </w:p>
    <w:p>
      <w:pPr>
        <w:spacing w:before="0" w:after="100"/>
      </w:pPr>
      <w:r>
        <w:rPr>
          <w:rFonts w:ascii="Calibri" w:hAnsi="Calibri"/>
          <w:sz w:val="22"/>
        </w:rPr>
        <w:t>FinAccSolutions is a Karachi-based finance and accounting outsourcing firm with a genuinely strong service lineup — Bookkeeping, Payroll, Budgeting &amp; Forecasting, Group Consolidation, Fundraising Support, and Virtual Finance Talent. The website has impressive design fundamentals: clean dark-navy aesthetic, smooth animations, and a clear value proposition. However, several critical content errors, missing SEO foundations, and broken conversion mechanics are preventing the site from capturing organic traffic and converting visitors into leads.</w:t>
      </w:r>
    </w:p>
    <w:p>
      <w:pPr>
        <w:spacing w:before="0" w:after="100"/>
      </w:pPr>
      <w:r>
        <w:rPr>
          <w:rFonts w:ascii="Calibri" w:hAnsi="Calibri"/>
          <w:sz w:val="22"/>
        </w:rPr>
        <w:t>This report identifies every gap and prescribes a prioritized action plan to make FinAccSolutions a market leader in organic search and lead generation against competitors like Belay, Bench, Pilot, Paro, and Botkeeper.</w:t>
      </w:r>
    </w:p>
    <w:p>
      <w:pPr>
        <w:spacing w:before="240" w:after="80"/>
      </w:pPr>
      <w:r>
        <w:rPr>
          <w:rFonts w:ascii="Calibri" w:hAnsi="Calibri"/>
          <w:b/>
          <w:color w:val="1B4FD8"/>
          <w:sz w:val="28"/>
        </w:rPr>
        <w:t>The Three Biggest Opportunities</w:t>
      </w:r>
    </w:p>
    <w:tbl>
      <w:tblPr>
        <w:tblW w:type="auto" w:w="0"/>
        <w:jc w:val="center"/>
        <w:tblLook w:firstColumn="1" w:firstRow="1" w:lastColumn="0" w:lastRow="0" w:noHBand="0" w:noVBand="1" w:val="04A0"/>
      </w:tblPr>
      <w:tblGrid>
        <w:gridCol w:w="9072"/>
      </w:tblGrid>
      <w:tr>
        <w:tc>
          <w:tcPr>
            <w:tcW w:type="dxa" w:w="9072"/>
            <w:shd w:val="clear" w:color="auto" w:fill="FFF5F5"/>
            <w:tcBorders>
              <w:top w:val="single" w:sz="12" w:space="0" w:color="DC2626"/>
              <w:left w:val="single" w:sz="12" w:space="0" w:color="DC2626"/>
              <w:bottom w:val="single" w:sz="12" w:space="0" w:color="DC2626"/>
              <w:right w:val="single" w:sz="12" w:space="0" w:color="DC2626"/>
            </w:tcBorders>
            <w:tcMar>
              <w:top w:w="140" w:type="dxa"/>
              <w:left w:w="140" w:type="dxa"/>
              <w:bottom w:w="140" w:type="dxa"/>
              <w:right w:w="140" w:type="dxa"/>
            </w:tcMar>
          </w:tcPr>
          <w:p>
            <w:pPr>
              <w:spacing w:after="80"/>
            </w:pPr>
            <w:r>
              <w:rPr>
                <w:rFonts w:ascii="Calibri" w:hAnsi="Calibri"/>
                <w:b/>
                <w:color w:val="DC2626"/>
                <w:sz w:val="24"/>
              </w:rPr>
              <w:t>Opportunity 1 — Fix Critical Content Errors (This Week)</w:t>
            </w:r>
          </w:p>
          <w:p>
            <w:pPr>
              <w:spacing w:after="40"/>
            </w:pPr>
            <w:r>
              <w:rPr>
                <w:rFonts w:ascii="Calibri" w:hAnsi="Calibri"/>
                <w:color w:val="0A1628"/>
                <w:sz w:val="21"/>
              </w:rPr>
              <w:t>The Testimonials section contains copy-pasted content from a different industry (references to 'video editing departments' and 'Amazon Store Managers') — this alone destroys credibility the moment a finance professional reads it.</w:t>
            </w:r>
          </w:p>
          <w:p>
            <w:pPr>
              <w:spacing w:after="40"/>
            </w:pPr>
            <w:r>
              <w:rPr>
                <w:rFonts w:ascii="Calibri" w:hAnsi="Calibri"/>
                <w:color w:val="0A1628"/>
                <w:sz w:val="21"/>
              </w:rPr>
              <w:t>The contact form uses a mock setTimeout submission — no enquiry ever reaches the business.</w:t>
            </w:r>
          </w:p>
          <w:p>
            <w:pPr>
              <w:spacing w:after="40"/>
            </w:pPr>
            <w:r>
              <w:rPr>
                <w:rFonts w:ascii="Calibri" w:hAnsi="Calibri"/>
                <w:color w:val="0A1628"/>
                <w:sz w:val="21"/>
              </w:rPr>
              <w:t>The Testimonials component is not rendered in page.tsx at all.</w:t>
            </w:r>
          </w:p>
          <w:p>
            <w:pPr>
              <w:spacing w:after="40"/>
            </w:pPr>
            <w:r>
              <w:rPr>
                <w:rFonts w:ascii="Calibri" w:hAnsi="Calibri"/>
                <w:color w:val="0A1628"/>
                <w:sz w:val="21"/>
              </w:rPr>
              <w:t>These three issues need to be resolved before any traffic arrives.</w:t>
            </w:r>
          </w:p>
        </w:tc>
      </w:tr>
    </w:tbl>
    <w:p/>
    <w:tbl>
      <w:tblPr>
        <w:tblW w:type="auto" w:w="0"/>
        <w:jc w:val="center"/>
        <w:tblLook w:firstColumn="1" w:firstRow="1" w:lastColumn="0" w:lastRow="0" w:noHBand="0" w:noVBand="1" w:val="04A0"/>
      </w:tblPr>
      <w:tblGrid>
        <w:gridCol w:w="9072"/>
      </w:tblGrid>
      <w:tr>
        <w:tc>
          <w:tcPr>
            <w:tcW w:type="dxa" w:w="9072"/>
            <w:shd w:val="clear" w:color="auto" w:fill="EEF3FF"/>
            <w:tcBorders>
              <w:top w:val="single" w:sz="12" w:space="0" w:color="1B4FD8"/>
              <w:left w:val="single" w:sz="12" w:space="0" w:color="1B4FD8"/>
              <w:bottom w:val="single" w:sz="12" w:space="0" w:color="1B4FD8"/>
              <w:right w:val="single" w:sz="12" w:space="0" w:color="1B4FD8"/>
            </w:tcBorders>
            <w:tcMar>
              <w:top w:w="140" w:type="dxa"/>
              <w:left w:w="140" w:type="dxa"/>
              <w:bottom w:w="140" w:type="dxa"/>
              <w:right w:w="140" w:type="dxa"/>
            </w:tcMar>
          </w:tcPr>
          <w:p>
            <w:pPr>
              <w:spacing w:after="80"/>
            </w:pPr>
            <w:r>
              <w:rPr>
                <w:rFonts w:ascii="Calibri" w:hAnsi="Calibri"/>
                <w:b/>
                <w:color w:val="1B4FD8"/>
                <w:sz w:val="24"/>
              </w:rPr>
              <w:t>Opportunity 2 — Build SEO Infrastructure (Month 1)</w:t>
            </w:r>
          </w:p>
          <w:p>
            <w:pPr>
              <w:spacing w:after="40"/>
            </w:pPr>
            <w:r>
              <w:rPr>
                <w:rFonts w:ascii="Calibri" w:hAnsi="Calibri"/>
                <w:color w:val="0A1628"/>
                <w:sz w:val="21"/>
              </w:rPr>
              <w:t>The site has zero schema markup, no sitemap.xml, no robots.txt, and a title tag that targets no keywords.</w:t>
            </w:r>
          </w:p>
          <w:p>
            <w:pPr>
              <w:spacing w:after="40"/>
            </w:pPr>
            <w:r>
              <w:rPr>
                <w:rFonts w:ascii="Calibri" w:hAnsi="Calibri"/>
                <w:color w:val="0A1628"/>
                <w:sz w:val="21"/>
              </w:rPr>
              <w:t>Competitors like Pilot and Bench dominate search because they have hundreds of content pages and FAQ sections.</w:t>
            </w:r>
          </w:p>
          <w:p>
            <w:pPr>
              <w:spacing w:after="40"/>
            </w:pPr>
            <w:r>
              <w:rPr>
                <w:rFonts w:ascii="Calibri" w:hAnsi="Calibri"/>
                <w:color w:val="0A1628"/>
                <w:sz w:val="21"/>
              </w:rPr>
              <w:t>Adding structured data, an FAQ section, service-specific meta tags, and a blog content plan can generate consistent organic leads within 60-90 days.</w:t>
            </w:r>
          </w:p>
        </w:tc>
      </w:tr>
    </w:tbl>
    <w:p/>
    <w:tbl>
      <w:tblPr>
        <w:tblW w:type="auto" w:w="0"/>
        <w:jc w:val="center"/>
        <w:tblLook w:firstColumn="1" w:firstRow="1" w:lastColumn="0" w:lastRow="0" w:noHBand="0" w:noVBand="1" w:val="04A0"/>
      </w:tblPr>
      <w:tblGrid>
        <w:gridCol w:w="9072"/>
      </w:tblGrid>
      <w:tr>
        <w:tc>
          <w:tcPr>
            <w:tcW w:type="dxa" w:w="9072"/>
            <w:shd w:val="clear" w:color="auto" w:fill="ECFDF5"/>
            <w:tcBorders>
              <w:top w:val="single" w:sz="12" w:space="0" w:color="059669"/>
              <w:left w:val="single" w:sz="12" w:space="0" w:color="059669"/>
              <w:bottom w:val="single" w:sz="12" w:space="0" w:color="059669"/>
              <w:right w:val="single" w:sz="12" w:space="0" w:color="059669"/>
            </w:tcBorders>
            <w:tcMar>
              <w:top w:w="140" w:type="dxa"/>
              <w:left w:w="140" w:type="dxa"/>
              <w:bottom w:w="140" w:type="dxa"/>
              <w:right w:w="140" w:type="dxa"/>
            </w:tcMar>
          </w:tcPr>
          <w:p>
            <w:pPr>
              <w:spacing w:after="80"/>
            </w:pPr>
            <w:r>
              <w:rPr>
                <w:rFonts w:ascii="Calibri" w:hAnsi="Calibri"/>
                <w:b/>
                <w:color w:val="059669"/>
                <w:sz w:val="24"/>
              </w:rPr>
              <w:t>Opportunity 3 — Differentiate on Cost + Credentials (Months 1-2)</w:t>
            </w:r>
          </w:p>
          <w:p>
            <w:pPr>
              <w:spacing w:after="40"/>
            </w:pPr>
            <w:r>
              <w:rPr>
                <w:rFonts w:ascii="Calibri" w:hAnsi="Calibri"/>
                <w:color w:val="0A1628"/>
                <w:sz w:val="21"/>
              </w:rPr>
              <w:t>FinAccSolutions has a rare combination: Big 4-trained talent at offshore pricing, with both IFRS and US GAAP competency.</w:t>
            </w:r>
          </w:p>
          <w:p>
            <w:pPr>
              <w:spacing w:after="40"/>
            </w:pPr>
            <w:r>
              <w:rPr>
                <w:rFonts w:ascii="Calibri" w:hAnsi="Calibri"/>
                <w:color w:val="0A1628"/>
                <w:sz w:val="21"/>
              </w:rPr>
              <w:t>No US or UK competitor can match this on price. This cost arbitrage is barely mentioned on the site — it needs to be front and centre.</w:t>
            </w:r>
          </w:p>
          <w:p>
            <w:pPr>
              <w:spacing w:after="40"/>
            </w:pPr>
            <w:r>
              <w:rPr>
                <w:rFonts w:ascii="Calibri" w:hAnsi="Calibri"/>
                <w:color w:val="0A1628"/>
                <w:sz w:val="21"/>
              </w:rPr>
              <w:t>Targeting post-Bench-shutdown SMBs, IFRS consolidation searches, and 'virtual CFO for startups' keywords can capture high-intent traffic with low competition.</w:t>
            </w:r>
          </w:p>
        </w:tc>
      </w:tr>
    </w:tbl>
    <w:p/>
    <w:p>
      <w:r>
        <w:br w:type="page"/>
      </w:r>
    </w:p>
    <w:p>
      <w:pPr>
        <w:spacing w:before="360" w:after="120"/>
        <w:jc w:val="left"/>
        <w:pBdr>
          <w:bottom w:val="single" w:sz="6" w:space="2" w:color="1B4FD8"/>
        </w:pBdr>
      </w:pPr>
      <w:r>
        <w:rPr>
          <w:rFonts w:ascii="Calibri" w:hAnsi="Calibri"/>
          <w:b/>
          <w:color w:val="0A1628"/>
          <w:sz w:val="36"/>
        </w:rPr>
        <w:t>2. Critical Site Issues — Fix Immediately</w:t>
      </w:r>
    </w:p>
    <w:p>
      <w:pPr>
        <w:spacing w:before="0" w:after="100"/>
      </w:pPr>
      <w:r>
        <w:rPr>
          <w:rFonts w:ascii="Calibri" w:hAnsi="Calibri"/>
          <w:sz w:val="22"/>
        </w:rPr>
        <w:t>The following issues were found by reading every component file in the codebase. They must be resolved before any marketing effort is spent.</w:t>
      </w:r>
    </w:p>
    <w:p>
      <w:pPr>
        <w:spacing w:before="240" w:after="80"/>
      </w:pPr>
      <w:r>
        <w:rPr>
          <w:rFonts w:ascii="Calibri" w:hAnsi="Calibri"/>
          <w:b/>
          <w:color w:val="1B4FD8"/>
          <w:sz w:val="28"/>
        </w:rPr>
        <w:t>2.1  Wrong Industry Content in Testimonials</w:t>
      </w:r>
    </w:p>
    <w:p>
      <w:pPr>
        <w:spacing w:before="0" w:after="100"/>
      </w:pPr>
      <w:r>
        <w:rPr>
          <w:rFonts w:ascii="Calibri" w:hAnsi="Calibri"/>
          <w:color w:val="DC2626"/>
          <w:sz w:val="22"/>
        </w:rPr>
        <w:t>SEVERITY: CRITICAL — Destroys trust and credibility instantly.</w:t>
      </w:r>
    </w:p>
    <w:p>
      <w:pPr>
        <w:spacing w:before="0" w:after="100"/>
      </w:pPr>
      <w:r>
        <w:rPr>
          <w:rFonts w:ascii="Calibri" w:hAnsi="Calibri"/>
          <w:sz w:val="22"/>
        </w:rPr>
        <w:t>The Testimonials.tsx component contains copy-pasted content from a generic virtual assistant agency template. Specifically:</w:t>
      </w:r>
    </w:p>
    <w:p>
      <w:pPr>
        <w:pStyle w:val="ListBullet"/>
        <w:spacing w:after="60"/>
        <w:ind w:left="432"/>
      </w:pPr>
      <w:r>
        <w:rPr>
          <w:rFonts w:ascii="Calibri" w:hAnsi="Calibri"/>
          <w:sz w:val="22"/>
        </w:rPr>
        <w:t>Sarah Jenkins (CEO, Brightpath Media) talks about scaling a "video editing department" and onboarding "video editors".</w:t>
      </w:r>
    </w:p>
    <w:p>
      <w:pPr>
        <w:pStyle w:val="ListBullet"/>
        <w:spacing w:after="60"/>
        <w:ind w:left="432"/>
      </w:pPr>
      <w:r>
        <w:rPr>
          <w:rFonts w:ascii="Calibri" w:hAnsi="Calibri"/>
          <w:sz w:val="22"/>
        </w:rPr>
        <w:t>David K. Larson (Operations Director, NexaShop) praises "Amazon Store Managers" and "PPC tracking, listing optimization, and supplier logistics".</w:t>
      </w:r>
    </w:p>
    <w:p>
      <w:pPr>
        <w:pStyle w:val="ListBullet"/>
        <w:spacing w:after="60"/>
        <w:ind w:left="432"/>
      </w:pPr>
      <w:r>
        <w:rPr>
          <w:rFonts w:ascii="Calibri" w:hAnsi="Calibri"/>
          <w:sz w:val="22"/>
        </w:rPr>
        <w:t>Case studies reference "Amazon PPC" and "SEO Specialists" — completely unrelated to finance or accounting.</w:t>
      </w:r>
    </w:p>
    <w:p>
      <w:pPr>
        <w:spacing w:before="0" w:after="100"/>
      </w:pPr>
      <w:r>
        <w:rPr>
          <w:rFonts w:ascii="Calibri" w:hAnsi="Calibri"/>
          <w:sz w:val="22"/>
        </w:rPr>
        <w:t>Any finance director, CFO, or accountant who visits the site and reads these will immediately conclude this is not a legitimate accounting firm. This is the single highest-priority fix on the entire site.</w:t>
      </w:r>
    </w:p>
    <w:tbl>
      <w:tblPr>
        <w:tblW w:type="auto" w:w="0"/>
        <w:jc w:val="center"/>
        <w:tblLook w:firstColumn="1" w:firstRow="1" w:lastColumn="0" w:lastRow="0" w:noHBand="0" w:noVBand="1" w:val="04A0"/>
      </w:tblPr>
      <w:tblGrid>
        <w:gridCol w:w="9072"/>
      </w:tblGrid>
      <w:tr>
        <w:tc>
          <w:tcPr>
            <w:tcW w:type="dxa" w:w="9072"/>
            <w:shd w:val="clear" w:color="auto" w:fill="FFF5F5"/>
            <w:tcBorders>
              <w:top w:val="single" w:sz="12" w:space="0" w:color="DC2626"/>
              <w:left w:val="single" w:sz="12" w:space="0" w:color="DC2626"/>
              <w:bottom w:val="single" w:sz="12" w:space="0" w:color="DC2626"/>
              <w:right w:val="single" w:sz="12" w:space="0" w:color="DC2626"/>
            </w:tcBorders>
            <w:tcMar>
              <w:top w:w="140" w:type="dxa"/>
              <w:left w:w="140" w:type="dxa"/>
              <w:bottom w:w="140" w:type="dxa"/>
              <w:right w:w="140" w:type="dxa"/>
            </w:tcMar>
          </w:tcPr>
          <w:p>
            <w:pPr>
              <w:spacing w:after="80"/>
            </w:pPr>
            <w:r>
              <w:rPr>
                <w:rFonts w:ascii="Calibri" w:hAnsi="Calibri"/>
                <w:b/>
                <w:color w:val="DC2626"/>
                <w:sz w:val="24"/>
              </w:rPr>
              <w:t>Fix Required</w:t>
            </w:r>
          </w:p>
          <w:p>
            <w:pPr>
              <w:spacing w:after="40"/>
            </w:pPr>
            <w:r>
              <w:rPr>
                <w:rFonts w:ascii="Calibri" w:hAnsi="Calibri"/>
                <w:color w:val="0A1628"/>
                <w:sz w:val="21"/>
              </w:rPr>
              <w:t>Replace all three testimonials with finance-specific ones (real or clearly illustrative).</w:t>
            </w:r>
          </w:p>
          <w:p>
            <w:pPr>
              <w:spacing w:after="40"/>
            </w:pPr>
            <w:r>
              <w:rPr>
                <w:rFonts w:ascii="Calibri" w:hAnsi="Calibri"/>
                <w:color w:val="0A1628"/>
                <w:sz w:val="21"/>
              </w:rPr>
              <w:t>Replace both case studies with finance-relevant metrics (cost savings, error reduction, time-to-close improvement).</w:t>
            </w:r>
          </w:p>
          <w:p>
            <w:pPr>
              <w:spacing w:after="40"/>
            </w:pPr>
            <w:r>
              <w:rPr>
                <w:rFonts w:ascii="Calibri" w:hAnsi="Calibri"/>
                <w:color w:val="0A1628"/>
                <w:sz w:val="21"/>
              </w:rPr>
              <w:t>Suggested approach: contact your actual clients for quotes. Even 1-2 real quotes outperform any fabricated content.</w:t>
            </w:r>
          </w:p>
        </w:tc>
      </w:tr>
    </w:tbl>
    <w:p/>
    <w:p>
      <w:pPr>
        <w:spacing w:before="240" w:after="80"/>
      </w:pPr>
      <w:r>
        <w:rPr>
          <w:rFonts w:ascii="Calibri" w:hAnsi="Calibri"/>
          <w:b/>
          <w:color w:val="1B4FD8"/>
          <w:sz w:val="28"/>
        </w:rPr>
        <w:t>2.2  Testimonials Section Not Rendered</w:t>
      </w:r>
    </w:p>
    <w:p>
      <w:pPr>
        <w:spacing w:before="0" w:after="100"/>
      </w:pPr>
      <w:r>
        <w:rPr>
          <w:rFonts w:ascii="Calibri" w:hAnsi="Calibri"/>
          <w:color w:val="DC2626"/>
          <w:sz w:val="22"/>
        </w:rPr>
        <w:t>SEVERITY: HIGH</w:t>
      </w:r>
    </w:p>
    <w:p>
      <w:pPr>
        <w:spacing w:before="0" w:after="100"/>
      </w:pPr>
      <w:r>
        <w:rPr>
          <w:rFonts w:ascii="Calibri" w:hAnsi="Calibri"/>
          <w:sz w:val="22"/>
        </w:rPr>
        <w:t>The Testimonials component exists as components/sections/Testimonials.tsx but is never imported or used in app/page.tsx. Visitors never see it. Once the content is corrected (see 2.1), the import and JSX tag must be added to page.tsx between WhoWeWorkWith and ContactForm.</w:t>
      </w:r>
    </w:p>
    <w:p>
      <w:pPr>
        <w:spacing w:before="240" w:after="80"/>
      </w:pPr>
      <w:r>
        <w:rPr>
          <w:rFonts w:ascii="Calibri" w:hAnsi="Calibri"/>
          <w:b/>
          <w:color w:val="1B4FD8"/>
          <w:sz w:val="28"/>
        </w:rPr>
        <w:t>2.3  Contact Form Does Not Submit</w:t>
      </w:r>
    </w:p>
    <w:p>
      <w:pPr>
        <w:spacing w:before="0" w:after="100"/>
      </w:pPr>
      <w:r>
        <w:rPr>
          <w:rFonts w:ascii="Calibri" w:hAnsi="Calibri"/>
          <w:color w:val="DC2626"/>
          <w:sz w:val="22"/>
        </w:rPr>
        <w:t>SEVERITY: CRITICAL — Zero leads are being captured.</w:t>
      </w:r>
    </w:p>
    <w:p>
      <w:pPr>
        <w:spacing w:before="0" w:after="100"/>
      </w:pPr>
      <w:r>
        <w:rPr>
          <w:rFonts w:ascii="Calibri" w:hAnsi="Calibri"/>
          <w:sz w:val="22"/>
        </w:rPr>
        <w:t>The handleSubmit function in ContactForm.tsx uses a setTimeout to fake a success state. No data is sent to any endpoint. Every 'enquiry' submitted through the website is silently discarded.</w:t>
      </w:r>
    </w:p>
    <w:tbl>
      <w:tblPr>
        <w:tblW w:type="auto" w:w="0"/>
        <w:jc w:val="center"/>
        <w:tblLook w:firstColumn="1" w:firstRow="1" w:lastColumn="0" w:lastRow="0" w:noHBand="0" w:noVBand="1" w:val="04A0"/>
      </w:tblPr>
      <w:tblGrid>
        <w:gridCol w:w="9072"/>
      </w:tblGrid>
      <w:tr>
        <w:tc>
          <w:tcPr>
            <w:tcW w:type="dxa" w:w="9072"/>
            <w:shd w:val="clear" w:color="auto" w:fill="FFF5F5"/>
            <w:tcBorders>
              <w:top w:val="single" w:sz="12" w:space="0" w:color="DC2626"/>
              <w:left w:val="single" w:sz="12" w:space="0" w:color="DC2626"/>
              <w:bottom w:val="single" w:sz="12" w:space="0" w:color="DC2626"/>
              <w:right w:val="single" w:sz="12" w:space="0" w:color="DC2626"/>
            </w:tcBorders>
            <w:tcMar>
              <w:top w:w="140" w:type="dxa"/>
              <w:left w:w="140" w:type="dxa"/>
              <w:bottom w:w="140" w:type="dxa"/>
              <w:right w:w="140" w:type="dxa"/>
            </w:tcMar>
          </w:tcPr>
          <w:p>
            <w:pPr>
              <w:spacing w:after="80"/>
            </w:pPr>
            <w:r>
              <w:rPr>
                <w:rFonts w:ascii="Calibri" w:hAnsi="Calibri"/>
                <w:b/>
                <w:color w:val="DC2626"/>
                <w:sz w:val="24"/>
              </w:rPr>
              <w:t>Fix Options (pick one)</w:t>
            </w:r>
          </w:p>
          <w:p>
            <w:pPr>
              <w:spacing w:after="40"/>
            </w:pPr>
            <w:r>
              <w:rPr>
                <w:rFonts w:ascii="Calibri" w:hAnsi="Calibri"/>
                <w:color w:val="0A1628"/>
                <w:sz w:val="21"/>
              </w:rPr>
              <w:t>Formspree (formspree.io) — free tier, no backend needed, 5-minute setup. Replace setTimeout with a fetch() POST to your Formspree endpoint.</w:t>
            </w:r>
          </w:p>
          <w:p>
            <w:pPr>
              <w:spacing w:after="40"/>
            </w:pPr>
            <w:r>
              <w:rPr>
                <w:rFonts w:ascii="Calibri" w:hAnsi="Calibri"/>
                <w:color w:val="0A1628"/>
                <w:sz w:val="21"/>
              </w:rPr>
              <w:t>Resend (resend.com) — developer-friendly email API, free for up to 3,000 emails/month.</w:t>
            </w:r>
          </w:p>
          <w:p>
            <w:pPr>
              <w:spacing w:after="40"/>
            </w:pPr>
            <w:r>
              <w:rPr>
                <w:rFonts w:ascii="Calibri" w:hAnsi="Calibri"/>
                <w:color w:val="0A1628"/>
                <w:sz w:val="21"/>
              </w:rPr>
              <w:t>Netlify Forms or Vercel Functions — if hosting on either platform, built-in form handling.</w:t>
            </w:r>
          </w:p>
          <w:p>
            <w:pPr>
              <w:spacing w:after="40"/>
            </w:pPr>
            <w:r>
              <w:rPr>
                <w:rFonts w:ascii="Calibri" w:hAnsi="Calibri"/>
                <w:color w:val="0A1628"/>
                <w:sz w:val="21"/>
              </w:rPr>
              <w:t>Recommended: Formspree for fastest time-to-live. Emails land directly in hello@finaccsolutions.com.</w:t>
            </w:r>
          </w:p>
        </w:tc>
      </w:tr>
    </w:tbl>
    <w:p/>
    <w:p>
      <w:pPr>
        <w:spacing w:before="240" w:after="80"/>
      </w:pPr>
      <w:r>
        <w:rPr>
          <w:rFonts w:ascii="Calibri" w:hAnsi="Calibri"/>
          <w:b/>
          <w:color w:val="1B4FD8"/>
          <w:sz w:val="28"/>
        </w:rPr>
        <w:t>2.4  Hero Dashboard Shows Hardcoded Fake KPIs</w:t>
      </w:r>
    </w:p>
    <w:p>
      <w:pPr>
        <w:spacing w:before="0" w:after="100"/>
      </w:pPr>
      <w:r>
        <w:rPr>
          <w:rFonts w:ascii="Calibri" w:hAnsi="Calibri"/>
          <w:color w:val="F59E0B"/>
          <w:sz w:val="22"/>
        </w:rPr>
        <w:t>SEVERITY: MEDIUM</w:t>
      </w:r>
    </w:p>
    <w:p>
      <w:pPr>
        <w:spacing w:before="0" w:after="100"/>
      </w:pPr>
      <w:r>
        <w:rPr>
          <w:rFonts w:ascii="Calibri" w:hAnsi="Calibri"/>
          <w:sz w:val="22"/>
        </w:rPr>
        <w:t>The right-column dashboard card animates to specific numbers: $284,500 Monthly Revenue, $91,200 Net Profit, 32.1% Cost Ratio, 142 Active Clients. These are presented as 'LIVE PLATFORM OVERVIEW / Synced', implying they are real-time data. A savvy B2B prospect will clock this immediately as fabricated and question the firm's credibility.</w:t>
      </w:r>
    </w:p>
    <w:tbl>
      <w:tblPr>
        <w:tblW w:type="auto" w:w="0"/>
        <w:jc w:val="center"/>
        <w:tblLook w:firstColumn="1" w:firstRow="1" w:lastColumn="0" w:lastRow="0" w:noHBand="0" w:noVBand="1" w:val="04A0"/>
      </w:tblPr>
      <w:tblGrid>
        <w:gridCol w:w="9072"/>
      </w:tblGrid>
      <w:tr>
        <w:tc>
          <w:tcPr>
            <w:tcW w:type="dxa" w:w="9072"/>
            <w:shd w:val="clear" w:color="auto" w:fill="FFFBEB"/>
            <w:tcBorders>
              <w:top w:val="single" w:sz="12" w:space="0" w:color="F59E0B"/>
              <w:left w:val="single" w:sz="12" w:space="0" w:color="F59E0B"/>
              <w:bottom w:val="single" w:sz="12" w:space="0" w:color="F59E0B"/>
              <w:right w:val="single" w:sz="12" w:space="0" w:color="F59E0B"/>
            </w:tcBorders>
            <w:tcMar>
              <w:top w:w="140" w:type="dxa"/>
              <w:left w:w="140" w:type="dxa"/>
              <w:bottom w:w="140" w:type="dxa"/>
              <w:right w:w="140" w:type="dxa"/>
            </w:tcMar>
          </w:tcPr>
          <w:p>
            <w:pPr>
              <w:spacing w:after="80"/>
            </w:pPr>
            <w:r>
              <w:rPr>
                <w:rFonts w:ascii="Calibri" w:hAnsi="Calibri"/>
                <w:b/>
                <w:color w:val="F59E0B"/>
                <w:sz w:val="24"/>
              </w:rPr>
              <w:t>Recommended Fix</w:t>
            </w:r>
          </w:p>
          <w:p>
            <w:pPr>
              <w:spacing w:after="40"/>
            </w:pPr>
            <w:r>
              <w:rPr>
                <w:rFonts w:ascii="Calibri" w:hAnsi="Calibri"/>
                <w:color w:val="0A1628"/>
                <w:sz w:val="21"/>
              </w:rPr>
              <w:t>Change the dashboard label from 'LIVE PLATFORM OVERVIEW' to 'CLIENT EXAMPLE' or 'SAMPLE CLIENT DASHBOARD'.</w:t>
            </w:r>
          </w:p>
          <w:p>
            <w:pPr>
              <w:spacing w:after="40"/>
            </w:pPr>
            <w:r>
              <w:rPr>
                <w:rFonts w:ascii="Calibri" w:hAnsi="Calibri"/>
                <w:color w:val="0A1628"/>
                <w:sz w:val="21"/>
              </w:rPr>
              <w:t>Alternatively, replace the animated KPI card with a real metric: '200+ hours saved per client annually' or '40+ clients served across 30 countries' — numbers you can actually stand behind.</w:t>
            </w:r>
          </w:p>
          <w:p>
            <w:pPr>
              <w:spacing w:after="40"/>
            </w:pPr>
            <w:r>
              <w:rPr>
                <w:rFonts w:ascii="Calibri" w:hAnsi="Calibri"/>
                <w:color w:val="0A1628"/>
                <w:sz w:val="21"/>
              </w:rPr>
              <w:t>The glassmorphism design itself is excellent and should be kept; only the data framing needs to change.</w:t>
            </w:r>
          </w:p>
        </w:tc>
      </w:tr>
    </w:tbl>
    <w:p/>
    <w:p>
      <w:pPr>
        <w:spacing w:before="240" w:after="80"/>
      </w:pPr>
      <w:r>
        <w:rPr>
          <w:rFonts w:ascii="Calibri" w:hAnsi="Calibri"/>
          <w:b/>
          <w:color w:val="1B4FD8"/>
          <w:sz w:val="28"/>
        </w:rPr>
        <w:t>2.5  Thin SEO Metadata</w:t>
      </w:r>
    </w:p>
    <w:p>
      <w:pPr>
        <w:spacing w:before="0" w:after="100"/>
      </w:pPr>
      <w:r>
        <w:rPr>
          <w:rFonts w:ascii="Calibri" w:hAnsi="Calibri"/>
          <w:color w:val="DC2626"/>
          <w:sz w:val="22"/>
        </w:rPr>
        <w:t>SEVERITY: HIGH — Invisible to search engines.</w:t>
      </w:r>
    </w:p>
    <w:p>
      <w:pPr>
        <w:spacing w:before="0" w:after="100"/>
      </w:pPr>
      <w:r>
        <w:rPr>
          <w:rFonts w:ascii="Calibri" w:hAnsi="Calibri"/>
          <w:sz w:val="22"/>
        </w:rPr>
        <w:t>The layout.tsx metadata object has a generic title ('FinAccSolutions | Precision. Integrity. Growth.') and a description that targets no searchable keywords. There is no Open Graph image, no Twitter card image, no canonical URL, and no keywords-focused copy.</w:t>
      </w:r>
    </w:p>
    <w:p>
      <w:r>
        <w:br w:type="page"/>
      </w:r>
    </w:p>
    <w:p>
      <w:pPr>
        <w:spacing w:before="360" w:after="120"/>
        <w:jc w:val="left"/>
        <w:pBdr>
          <w:bottom w:val="single" w:sz="6" w:space="2" w:color="1B4FD8"/>
        </w:pBdr>
      </w:pPr>
      <w:r>
        <w:rPr>
          <w:rFonts w:ascii="Calibri" w:hAnsi="Calibri"/>
          <w:b/>
          <w:color w:val="0A1628"/>
          <w:sz w:val="36"/>
        </w:rPr>
        <w:t>3. Competitive Landscape Analysis</w:t>
      </w:r>
    </w:p>
    <w:p>
      <w:pPr>
        <w:spacing w:before="240" w:after="80"/>
      </w:pPr>
      <w:r>
        <w:rPr>
          <w:rFonts w:ascii="Calibri" w:hAnsi="Calibri"/>
          <w:b/>
          <w:color w:val="1B4FD8"/>
          <w:sz w:val="28"/>
        </w:rPr>
        <w:t>3.1  Who FinAccSolutions Competes Against</w:t>
      </w:r>
    </w:p>
    <w:p>
      <w:pPr>
        <w:spacing w:before="0" w:after="100"/>
      </w:pPr>
      <w:r>
        <w:rPr>
          <w:rFonts w:ascii="Calibri" w:hAnsi="Calibri"/>
          <w:sz w:val="22"/>
        </w:rPr>
        <w:t>The virtual accounting and bookkeeping outsourcing market is large and growing, but most major players are US-based, US-priced, and US-focused. Here is how the competitive map breaks down: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val="clear" w:color="auto" w:fill="1B4FD8"/>
          </w:tcPr>
          <w:p>
            <w:pPr>
              <w:jc w:val="center"/>
            </w:pPr>
            <w:r>
              <w:rPr>
                <w:rFonts w:ascii="Calibri" w:hAnsi="Calibri"/>
                <w:b/>
                <w:color w:val="FFFFFF"/>
                <w:sz w:val="21"/>
              </w:rPr>
              <w:t>Competitor</w:t>
            </w:r>
          </w:p>
        </w:tc>
        <w:tc>
          <w:tcPr>
            <w:tcW w:type="dxa" w:w="2592"/>
            <w:shd w:val="clear" w:color="auto" w:fill="1B4FD8"/>
          </w:tcPr>
          <w:p>
            <w:pPr>
              <w:jc w:val="center"/>
            </w:pPr>
            <w:r>
              <w:rPr>
                <w:rFonts w:ascii="Calibri" w:hAnsi="Calibri"/>
                <w:b/>
                <w:color w:val="FFFFFF"/>
                <w:sz w:val="21"/>
              </w:rPr>
              <w:t>Positioning</w:t>
            </w:r>
          </w:p>
        </w:tc>
        <w:tc>
          <w:tcPr>
            <w:tcW w:type="dxa" w:w="1584"/>
            <w:shd w:val="clear" w:color="auto" w:fill="1B4FD8"/>
          </w:tcPr>
          <w:p>
            <w:pPr>
              <w:jc w:val="center"/>
            </w:pPr>
            <w:r>
              <w:rPr>
                <w:rFonts w:ascii="Calibri" w:hAnsi="Calibri"/>
                <w:b/>
                <w:color w:val="FFFFFF"/>
                <w:sz w:val="21"/>
              </w:rPr>
              <w:t>Price Point</w:t>
            </w:r>
          </w:p>
        </w:tc>
        <w:tc>
          <w:tcPr>
            <w:tcW w:type="dxa" w:w="3456"/>
            <w:shd w:val="clear" w:color="auto" w:fill="1B4FD8"/>
          </w:tcPr>
          <w:p>
            <w:pPr>
              <w:jc w:val="center"/>
            </w:pPr>
            <w:r>
              <w:rPr>
                <w:rFonts w:ascii="Calibri" w:hAnsi="Calibri"/>
                <w:b/>
                <w:color w:val="FFFFFF"/>
                <w:sz w:val="21"/>
              </w:rPr>
              <w:t>FinAccSolutions Advantage</w:t>
            </w:r>
          </w:p>
        </w:tc>
      </w:tr>
      <w:tr>
        <w:tc>
          <w:tcPr>
            <w:tcW w:type="dxa" w:w="1872"/>
            <w:shd w:val="clear" w:color="auto" w:fill="F0F4FF"/>
          </w:tcPr>
          <w:p>
            <w:pPr>
              <w:spacing w:after="40"/>
            </w:pPr>
            <w:r>
              <w:rPr>
                <w:rFonts w:ascii="Calibri" w:hAnsi="Calibri"/>
                <w:color w:val="0A1628"/>
                <w:sz w:val="20"/>
              </w:rPr>
              <w:t>Belay Solutions</w:t>
            </w:r>
          </w:p>
        </w:tc>
        <w:tc>
          <w:tcPr>
            <w:tcW w:type="dxa" w:w="2592"/>
            <w:shd w:val="clear" w:color="auto" w:fill="F0F4FF"/>
          </w:tcPr>
          <w:p>
            <w:pPr>
              <w:spacing w:after="40"/>
            </w:pPr>
            <w:r>
              <w:rPr>
                <w:rFonts w:ascii="Calibri" w:hAnsi="Calibri"/>
                <w:color w:val="0A1628"/>
                <w:sz w:val="20"/>
              </w:rPr>
              <w:t>US-based, human-first, VA + bookkeeping</w:t>
            </w:r>
          </w:p>
        </w:tc>
        <w:tc>
          <w:tcPr>
            <w:tcW w:type="dxa" w:w="1584"/>
            <w:shd w:val="clear" w:color="auto" w:fill="F0F4FF"/>
          </w:tcPr>
          <w:p>
            <w:pPr>
              <w:spacing w:after="40"/>
            </w:pPr>
            <w:r>
              <w:rPr>
                <w:rFonts w:ascii="Calibri" w:hAnsi="Calibri"/>
                <w:color w:val="0A1628"/>
                <w:sz w:val="20"/>
              </w:rPr>
              <w:t>Premium ($$$)</w:t>
            </w:r>
          </w:p>
        </w:tc>
        <w:tc>
          <w:tcPr>
            <w:tcW w:type="dxa" w:w="3456"/>
            <w:shd w:val="clear" w:color="auto" w:fill="F0F4FF"/>
          </w:tcPr>
          <w:p>
            <w:pPr>
              <w:spacing w:after="40"/>
            </w:pPr>
            <w:r>
              <w:rPr>
                <w:rFonts w:ascii="Calibri" w:hAnsi="Calibri"/>
                <w:color w:val="0A1628"/>
                <w:sz w:val="20"/>
              </w:rPr>
              <w:t>Lower cost, IFRS expertise, Group Consolidation</w:t>
            </w:r>
          </w:p>
        </w:tc>
      </w:tr>
      <w:tr>
        <w:tc>
          <w:tcPr>
            <w:tcW w:type="dxa" w:w="1872"/>
            <w:shd w:val="clear" w:color="auto" w:fill="FFFFFF"/>
          </w:tcPr>
          <w:p>
            <w:pPr>
              <w:spacing w:after="40"/>
            </w:pPr>
            <w:r>
              <w:rPr>
                <w:rFonts w:ascii="Calibri" w:hAnsi="Calibri"/>
                <w:color w:val="0A1628"/>
                <w:sz w:val="20"/>
              </w:rPr>
              <w:t>Bench Accounting</w:t>
            </w:r>
          </w:p>
        </w:tc>
        <w:tc>
          <w:tcPr>
            <w:tcW w:type="dxa" w:w="2592"/>
            <w:shd w:val="clear" w:color="auto" w:fill="FFFFFF"/>
          </w:tcPr>
          <w:p>
            <w:pPr>
              <w:spacing w:after="40"/>
            </w:pPr>
            <w:r>
              <w:rPr>
                <w:rFonts w:ascii="Calibri" w:hAnsi="Calibri"/>
                <w:color w:val="0A1628"/>
                <w:sz w:val="20"/>
              </w:rPr>
              <w:t>Tech platform + bookkeeping (shut Dec 2024)</w:t>
            </w:r>
          </w:p>
        </w:tc>
        <w:tc>
          <w:tcPr>
            <w:tcW w:type="dxa" w:w="1584"/>
            <w:shd w:val="clear" w:color="auto" w:fill="FFFFFF"/>
          </w:tcPr>
          <w:p>
            <w:pPr>
              <w:spacing w:after="40"/>
            </w:pPr>
            <w:r>
              <w:rPr>
                <w:rFonts w:ascii="Calibri" w:hAnsi="Calibri"/>
                <w:color w:val="0A1628"/>
                <w:sz w:val="20"/>
              </w:rPr>
              <w:t>Mid ($$$)</w:t>
            </w:r>
          </w:p>
        </w:tc>
        <w:tc>
          <w:tcPr>
            <w:tcW w:type="dxa" w:w="3456"/>
            <w:shd w:val="clear" w:color="auto" w:fill="FFFFFF"/>
          </w:tcPr>
          <w:p>
            <w:pPr>
              <w:spacing w:after="40"/>
            </w:pPr>
            <w:r>
              <w:rPr>
                <w:rFonts w:ascii="Calibri" w:hAnsi="Calibri"/>
                <w:color w:val="0A1628"/>
                <w:sz w:val="20"/>
              </w:rPr>
              <w:t>Bench closed — actively displaced client base</w:t>
            </w:r>
          </w:p>
        </w:tc>
      </w:tr>
      <w:tr>
        <w:tc>
          <w:tcPr>
            <w:tcW w:type="dxa" w:w="1872"/>
            <w:shd w:val="clear" w:color="auto" w:fill="F0F4FF"/>
          </w:tcPr>
          <w:p>
            <w:pPr>
              <w:spacing w:after="40"/>
            </w:pPr>
            <w:r>
              <w:rPr>
                <w:rFonts w:ascii="Calibri" w:hAnsi="Calibri"/>
                <w:color w:val="0A1628"/>
                <w:sz w:val="20"/>
              </w:rPr>
              <w:t>Pilot.com</w:t>
            </w:r>
          </w:p>
        </w:tc>
        <w:tc>
          <w:tcPr>
            <w:tcW w:type="dxa" w:w="2592"/>
            <w:shd w:val="clear" w:color="auto" w:fill="F0F4FF"/>
          </w:tcPr>
          <w:p>
            <w:pPr>
              <w:spacing w:after="40"/>
            </w:pPr>
            <w:r>
              <w:rPr>
                <w:rFonts w:ascii="Calibri" w:hAnsi="Calibri"/>
                <w:color w:val="0A1628"/>
                <w:sz w:val="20"/>
              </w:rPr>
              <w:t>Startup-focused, VC-backed, US GAAP</w:t>
            </w:r>
          </w:p>
        </w:tc>
        <w:tc>
          <w:tcPr>
            <w:tcW w:type="dxa" w:w="1584"/>
            <w:shd w:val="clear" w:color="auto" w:fill="F0F4FF"/>
          </w:tcPr>
          <w:p>
            <w:pPr>
              <w:spacing w:after="40"/>
            </w:pPr>
            <w:r>
              <w:rPr>
                <w:rFonts w:ascii="Calibri" w:hAnsi="Calibri"/>
                <w:color w:val="0A1628"/>
                <w:sz w:val="20"/>
              </w:rPr>
              <w:t>Premium ($$$)</w:t>
            </w:r>
          </w:p>
        </w:tc>
        <w:tc>
          <w:tcPr>
            <w:tcW w:type="dxa" w:w="3456"/>
            <w:shd w:val="clear" w:color="auto" w:fill="F0F4FF"/>
          </w:tcPr>
          <w:p>
            <w:pPr>
              <w:spacing w:after="40"/>
            </w:pPr>
            <w:r>
              <w:rPr>
                <w:rFonts w:ascii="Calibri" w:hAnsi="Calibri"/>
                <w:color w:val="0A1628"/>
                <w:sz w:val="20"/>
              </w:rPr>
              <w:t>IFRS capability, Group Consolidation, lower cost</w:t>
            </w:r>
          </w:p>
        </w:tc>
      </w:tr>
      <w:tr>
        <w:tc>
          <w:tcPr>
            <w:tcW w:type="dxa" w:w="1872"/>
            <w:shd w:val="clear" w:color="auto" w:fill="FFFFFF"/>
          </w:tcPr>
          <w:p>
            <w:pPr>
              <w:spacing w:after="40"/>
            </w:pPr>
            <w:r>
              <w:rPr>
                <w:rFonts w:ascii="Calibri" w:hAnsi="Calibri"/>
                <w:color w:val="0A1628"/>
                <w:sz w:val="20"/>
              </w:rPr>
              <w:t>Paro.io</w:t>
            </w:r>
          </w:p>
        </w:tc>
        <w:tc>
          <w:tcPr>
            <w:tcW w:type="dxa" w:w="2592"/>
            <w:shd w:val="clear" w:color="auto" w:fill="FFFFFF"/>
          </w:tcPr>
          <w:p>
            <w:pPr>
              <w:spacing w:after="40"/>
            </w:pPr>
            <w:r>
              <w:rPr>
                <w:rFonts w:ascii="Calibri" w:hAnsi="Calibri"/>
                <w:color w:val="0A1628"/>
                <w:sz w:val="20"/>
              </w:rPr>
              <w:t>Freelance marketplace model</w:t>
            </w:r>
          </w:p>
        </w:tc>
        <w:tc>
          <w:tcPr>
            <w:tcW w:type="dxa" w:w="1584"/>
            <w:shd w:val="clear" w:color="auto" w:fill="FFFFFF"/>
          </w:tcPr>
          <w:p>
            <w:pPr>
              <w:spacing w:after="40"/>
            </w:pPr>
            <w:r>
              <w:rPr>
                <w:rFonts w:ascii="Calibri" w:hAnsi="Calibri"/>
                <w:color w:val="0A1628"/>
                <w:sz w:val="20"/>
              </w:rPr>
              <w:t>Mid-High ($$-$$$)</w:t>
            </w:r>
          </w:p>
        </w:tc>
        <w:tc>
          <w:tcPr>
            <w:tcW w:type="dxa" w:w="3456"/>
            <w:shd w:val="clear" w:color="auto" w:fill="FFFFFF"/>
          </w:tcPr>
          <w:p>
            <w:pPr>
              <w:spacing w:after="40"/>
            </w:pPr>
            <w:r>
              <w:rPr>
                <w:rFonts w:ascii="Calibri" w:hAnsi="Calibri"/>
                <w:color w:val="0A1628"/>
                <w:sz w:val="20"/>
              </w:rPr>
              <w:t>Dedicated team, Big 4 credentials, lower cost</w:t>
            </w:r>
          </w:p>
        </w:tc>
      </w:tr>
      <w:tr>
        <w:tc>
          <w:tcPr>
            <w:tcW w:type="dxa" w:w="1872"/>
            <w:shd w:val="clear" w:color="auto" w:fill="F0F4FF"/>
          </w:tcPr>
          <w:p>
            <w:pPr>
              <w:spacing w:after="40"/>
            </w:pPr>
            <w:r>
              <w:rPr>
                <w:rFonts w:ascii="Calibri" w:hAnsi="Calibri"/>
                <w:color w:val="0A1628"/>
                <w:sz w:val="20"/>
              </w:rPr>
              <w:t>Botkeeper</w:t>
            </w:r>
          </w:p>
        </w:tc>
        <w:tc>
          <w:tcPr>
            <w:tcW w:type="dxa" w:w="2592"/>
            <w:shd w:val="clear" w:color="auto" w:fill="F0F4FF"/>
          </w:tcPr>
          <w:p>
            <w:pPr>
              <w:spacing w:after="40"/>
            </w:pPr>
            <w:r>
              <w:rPr>
                <w:rFonts w:ascii="Calibri" w:hAnsi="Calibri"/>
                <w:color w:val="0A1628"/>
                <w:sz w:val="20"/>
              </w:rPr>
              <w:t>AI-first automation, mid-large firms</w:t>
            </w:r>
          </w:p>
        </w:tc>
        <w:tc>
          <w:tcPr>
            <w:tcW w:type="dxa" w:w="1584"/>
            <w:shd w:val="clear" w:color="auto" w:fill="F0F4FF"/>
          </w:tcPr>
          <w:p>
            <w:pPr>
              <w:spacing w:after="40"/>
            </w:pPr>
            <w:r>
              <w:rPr>
                <w:rFonts w:ascii="Calibri" w:hAnsi="Calibri"/>
                <w:color w:val="0A1628"/>
                <w:sz w:val="20"/>
              </w:rPr>
              <w:t>Enterprise ($$$+)</w:t>
            </w:r>
          </w:p>
        </w:tc>
        <w:tc>
          <w:tcPr>
            <w:tcW w:type="dxa" w:w="3456"/>
            <w:shd w:val="clear" w:color="auto" w:fill="F0F4FF"/>
          </w:tcPr>
          <w:p>
            <w:pPr>
              <w:spacing w:after="40"/>
            </w:pPr>
            <w:r>
              <w:rPr>
                <w:rFonts w:ascii="Calibri" w:hAnsi="Calibri"/>
                <w:color w:val="0A1628"/>
                <w:sz w:val="20"/>
              </w:rPr>
              <w:t>Human expertise, agile, IFRS, lower entry cost</w:t>
            </w:r>
          </w:p>
        </w:tc>
      </w:tr>
      <w:tr>
        <w:tc>
          <w:tcPr>
            <w:tcW w:type="dxa" w:w="1872"/>
            <w:shd w:val="clear" w:color="auto" w:fill="FFFFFF"/>
          </w:tcPr>
          <w:p>
            <w:pPr>
              <w:spacing w:after="40"/>
            </w:pPr>
            <w:r>
              <w:rPr>
                <w:rFonts w:ascii="Calibri" w:hAnsi="Calibri"/>
                <w:color w:val="0A1628"/>
                <w:sz w:val="20"/>
              </w:rPr>
              <w:t>inDinero</w:t>
            </w:r>
          </w:p>
        </w:tc>
        <w:tc>
          <w:tcPr>
            <w:tcW w:type="dxa" w:w="2592"/>
            <w:shd w:val="clear" w:color="auto" w:fill="FFFFFF"/>
          </w:tcPr>
          <w:p>
            <w:pPr>
              <w:spacing w:after="40"/>
            </w:pPr>
            <w:r>
              <w:rPr>
                <w:rFonts w:ascii="Calibri" w:hAnsi="Calibri"/>
                <w:color w:val="0A1628"/>
                <w:sz w:val="20"/>
              </w:rPr>
              <w:t>Bookkeeping + tax + CFO bundle</w:t>
            </w:r>
          </w:p>
        </w:tc>
        <w:tc>
          <w:tcPr>
            <w:tcW w:type="dxa" w:w="1584"/>
            <w:shd w:val="clear" w:color="auto" w:fill="FFFFFF"/>
          </w:tcPr>
          <w:p>
            <w:pPr>
              <w:spacing w:after="40"/>
            </w:pPr>
            <w:r>
              <w:rPr>
                <w:rFonts w:ascii="Calibri" w:hAnsi="Calibri"/>
                <w:color w:val="0A1628"/>
                <w:sz w:val="20"/>
              </w:rPr>
              <w:t>Premium ($$$)</w:t>
            </w:r>
          </w:p>
        </w:tc>
        <w:tc>
          <w:tcPr>
            <w:tcW w:type="dxa" w:w="3456"/>
            <w:shd w:val="clear" w:color="auto" w:fill="FFFFFF"/>
          </w:tcPr>
          <w:p>
            <w:pPr>
              <w:spacing w:after="40"/>
            </w:pPr>
            <w:r>
              <w:rPr>
                <w:rFonts w:ascii="Calibri" w:hAnsi="Calibri"/>
                <w:color w:val="0A1628"/>
                <w:sz w:val="20"/>
              </w:rPr>
              <w:t>Fundraising support, IFRS, offshore pricing</w:t>
            </w:r>
          </w:p>
        </w:tc>
      </w:tr>
      <w:tr>
        <w:tc>
          <w:tcPr>
            <w:tcW w:type="dxa" w:w="1872"/>
            <w:shd w:val="clear" w:color="auto" w:fill="F0F4FF"/>
          </w:tcPr>
          <w:p>
            <w:pPr>
              <w:spacing w:after="40"/>
            </w:pPr>
            <w:r>
              <w:rPr>
                <w:rFonts w:ascii="Calibri" w:hAnsi="Calibri"/>
                <w:color w:val="0A1628"/>
                <w:sz w:val="20"/>
              </w:rPr>
              <w:t>QX Accounting</w:t>
            </w:r>
          </w:p>
        </w:tc>
        <w:tc>
          <w:tcPr>
            <w:tcW w:type="dxa" w:w="2592"/>
            <w:shd w:val="clear" w:color="auto" w:fill="F0F4FF"/>
          </w:tcPr>
          <w:p>
            <w:pPr>
              <w:spacing w:after="40"/>
            </w:pPr>
            <w:r>
              <w:rPr>
                <w:rFonts w:ascii="Calibri" w:hAnsi="Calibri"/>
                <w:color w:val="0A1628"/>
                <w:sz w:val="20"/>
              </w:rPr>
              <w:t>Offshore model (India-based)</w:t>
            </w:r>
          </w:p>
        </w:tc>
        <w:tc>
          <w:tcPr>
            <w:tcW w:type="dxa" w:w="1584"/>
            <w:shd w:val="clear" w:color="auto" w:fill="F0F4FF"/>
          </w:tcPr>
          <w:p>
            <w:pPr>
              <w:spacing w:after="40"/>
            </w:pPr>
            <w:r>
              <w:rPr>
                <w:rFonts w:ascii="Calibri" w:hAnsi="Calibri"/>
                <w:color w:val="0A1628"/>
                <w:sz w:val="20"/>
              </w:rPr>
              <w:t>Low-Mid ($$)</w:t>
            </w:r>
          </w:p>
        </w:tc>
        <w:tc>
          <w:tcPr>
            <w:tcW w:type="dxa" w:w="3456"/>
            <w:shd w:val="clear" w:color="auto" w:fill="F0F4FF"/>
          </w:tcPr>
          <w:p>
            <w:pPr>
              <w:spacing w:after="40"/>
            </w:pPr>
            <w:r>
              <w:rPr>
                <w:rFonts w:ascii="Calibri" w:hAnsi="Calibri"/>
                <w:color w:val="0A1628"/>
                <w:sz w:val="20"/>
              </w:rPr>
              <w:t>Big 4 + Big 10 credentials, IFRS + US GAAP dual</w:t>
            </w:r>
          </w:p>
        </w:tc>
      </w:tr>
      <w:tr>
        <w:tc>
          <w:tcPr>
            <w:tcW w:type="dxa" w:w="1872"/>
            <w:shd w:val="clear" w:color="auto" w:fill="FFFFFF"/>
          </w:tcPr>
          <w:p>
            <w:pPr>
              <w:spacing w:after="40"/>
            </w:pPr>
            <w:r>
              <w:rPr>
                <w:rFonts w:ascii="Calibri" w:hAnsi="Calibri"/>
                <w:color w:val="0A1628"/>
                <w:sz w:val="20"/>
              </w:rPr>
              <w:t>Escalon Services</w:t>
            </w:r>
          </w:p>
        </w:tc>
        <w:tc>
          <w:tcPr>
            <w:tcW w:type="dxa" w:w="2592"/>
            <w:shd w:val="clear" w:color="auto" w:fill="FFFFFF"/>
          </w:tcPr>
          <w:p>
            <w:pPr>
              <w:spacing w:after="40"/>
            </w:pPr>
            <w:r>
              <w:rPr>
                <w:rFonts w:ascii="Calibri" w:hAnsi="Calibri"/>
                <w:color w:val="0A1628"/>
                <w:sz w:val="20"/>
              </w:rPr>
              <w:t>SME finance outsourcing</w:t>
            </w:r>
          </w:p>
        </w:tc>
        <w:tc>
          <w:tcPr>
            <w:tcW w:type="dxa" w:w="1584"/>
            <w:shd w:val="clear" w:color="auto" w:fill="FFFFFF"/>
          </w:tcPr>
          <w:p>
            <w:pPr>
              <w:spacing w:after="40"/>
            </w:pPr>
            <w:r>
              <w:rPr>
                <w:rFonts w:ascii="Calibri" w:hAnsi="Calibri"/>
                <w:color w:val="0A1628"/>
                <w:sz w:val="20"/>
              </w:rPr>
              <w:t>Mid ($$$)</w:t>
            </w:r>
          </w:p>
        </w:tc>
        <w:tc>
          <w:tcPr>
            <w:tcW w:type="dxa" w:w="3456"/>
            <w:shd w:val="clear" w:color="auto" w:fill="FFFFFF"/>
          </w:tcPr>
          <w:p>
            <w:pPr>
              <w:spacing w:after="40"/>
            </w:pPr>
            <w:r>
              <w:rPr>
                <w:rFonts w:ascii="Calibri" w:hAnsi="Calibri"/>
                <w:color w:val="0A1628"/>
                <w:sz w:val="20"/>
              </w:rPr>
              <w:t>Group Consolidation niche, virtual talent tiers</w:t>
            </w:r>
          </w:p>
        </w:tc>
      </w:tr>
    </w:tbl>
    <w:p/>
    <w:p>
      <w:pPr>
        <w:spacing w:before="240" w:after="80"/>
      </w:pPr>
      <w:r>
        <w:rPr>
          <w:rFonts w:ascii="Calibri" w:hAnsi="Calibri"/>
          <w:b/>
          <w:color w:val="1B4FD8"/>
          <w:sz w:val="28"/>
        </w:rPr>
        <w:t>3.2  FinAccSolutions' Untapped Competitive Advantages</w:t>
      </w:r>
    </w:p>
    <w:p>
      <w:pPr>
        <w:spacing w:before="0" w:after="100"/>
      </w:pPr>
      <w:r>
        <w:rPr>
          <w:rFonts w:ascii="Calibri" w:hAnsi="Calibri"/>
          <w:sz w:val="22"/>
        </w:rPr>
        <w:t>The research reveals four areas where FinAccSolutions can credibly out-compete every major player — none of which are currently leveraged in the website copy:</w:t>
      </w:r>
    </w:p>
    <w:tbl>
      <w:tblPr>
        <w:tblW w:type="auto" w:w="0"/>
        <w:jc w:val="center"/>
        <w:tblLook w:firstColumn="1" w:firstRow="1" w:lastColumn="0" w:lastRow="0" w:noHBand="0" w:noVBand="1" w:val="04A0"/>
      </w:tblPr>
      <w:tblGrid>
        <w:gridCol w:w="9072"/>
      </w:tblGrid>
      <w:tr>
        <w:tc>
          <w:tcPr>
            <w:tcW w:type="dxa" w:w="9072"/>
            <w:shd w:val="clear" w:color="auto" w:fill="ECFDF5"/>
            <w:tcBorders>
              <w:top w:val="single" w:sz="12" w:space="0" w:color="059669"/>
              <w:left w:val="single" w:sz="12" w:space="0" w:color="059669"/>
              <w:bottom w:val="single" w:sz="12" w:space="0" w:color="059669"/>
              <w:right w:val="single" w:sz="12" w:space="0" w:color="059669"/>
            </w:tcBorders>
            <w:tcMar>
              <w:top w:w="140" w:type="dxa"/>
              <w:left w:w="140" w:type="dxa"/>
              <w:bottom w:w="140" w:type="dxa"/>
              <w:right w:w="140" w:type="dxa"/>
            </w:tcMar>
          </w:tcPr>
          <w:p>
            <w:pPr>
              <w:spacing w:after="80"/>
            </w:pPr>
            <w:r>
              <w:rPr>
                <w:rFonts w:ascii="Calibri" w:hAnsi="Calibri"/>
                <w:b/>
                <w:color w:val="059669"/>
                <w:sz w:val="24"/>
              </w:rPr>
              <w:t>Advantage 1 — The Bench Shutdown Gap</w:t>
            </w:r>
          </w:p>
          <w:p>
            <w:pPr>
              <w:spacing w:after="40"/>
            </w:pPr>
            <w:r>
              <w:rPr>
                <w:rFonts w:ascii="Calibri" w:hAnsi="Calibri"/>
                <w:color w:val="0A1628"/>
                <w:sz w:val="21"/>
              </w:rPr>
              <w:t>Bench Accounting shut down abruptly in December 2024, stranding tens of thousands of small business clients overnight.</w:t>
            </w:r>
          </w:p>
          <w:p>
            <w:pPr>
              <w:spacing w:after="40"/>
            </w:pPr>
            <w:r>
              <w:rPr>
                <w:rFonts w:ascii="Calibri" w:hAnsi="Calibri"/>
                <w:color w:val="0A1628"/>
                <w:sz w:val="21"/>
              </w:rPr>
              <w:t>These clients are actively searching for alternatives RIGHT NOW. Pages like 'Bench Accounting Alternative' and 'Bench accounting shut down what to do' are high-traffic, low-competition keywords.</w:t>
            </w:r>
          </w:p>
          <w:p>
            <w:pPr>
              <w:spacing w:after="40"/>
            </w:pPr>
            <w:r>
              <w:rPr>
                <w:rFonts w:ascii="Calibri" w:hAnsi="Calibri"/>
                <w:color w:val="0A1628"/>
                <w:sz w:val="21"/>
              </w:rPr>
              <w:t>A single landing page targeting this audience could capture hundreds of qualified leads.</w:t>
            </w:r>
          </w:p>
        </w:tc>
      </w:tr>
    </w:tbl>
    <w:p/>
    <w:tbl>
      <w:tblPr>
        <w:tblW w:type="auto" w:w="0"/>
        <w:jc w:val="center"/>
        <w:tblLook w:firstColumn="1" w:firstRow="1" w:lastColumn="0" w:lastRow="0" w:noHBand="0" w:noVBand="1" w:val="04A0"/>
      </w:tblPr>
      <w:tblGrid>
        <w:gridCol w:w="9072"/>
      </w:tblGrid>
      <w:tr>
        <w:tc>
          <w:tcPr>
            <w:tcW w:type="dxa" w:w="9072"/>
            <w:shd w:val="clear" w:color="auto" w:fill="EEF3FF"/>
            <w:tcBorders>
              <w:top w:val="single" w:sz="12" w:space="0" w:color="1B4FD8"/>
              <w:left w:val="single" w:sz="12" w:space="0" w:color="1B4FD8"/>
              <w:bottom w:val="single" w:sz="12" w:space="0" w:color="1B4FD8"/>
              <w:right w:val="single" w:sz="12" w:space="0" w:color="1B4FD8"/>
            </w:tcBorders>
            <w:tcMar>
              <w:top w:w="140" w:type="dxa"/>
              <w:left w:w="140" w:type="dxa"/>
              <w:bottom w:w="140" w:type="dxa"/>
              <w:right w:w="140" w:type="dxa"/>
            </w:tcMar>
          </w:tcPr>
          <w:p>
            <w:pPr>
              <w:spacing w:after="80"/>
            </w:pPr>
            <w:r>
              <w:rPr>
                <w:rFonts w:ascii="Calibri" w:hAnsi="Calibri"/>
                <w:b/>
                <w:color w:val="1B4FD8"/>
                <w:sz w:val="24"/>
              </w:rPr>
              <w:t>Advantage 2 — Offshore Pricing + Big 4 Quality</w:t>
            </w:r>
          </w:p>
          <w:p>
            <w:pPr>
              <w:spacing w:after="40"/>
            </w:pPr>
            <w:r>
              <w:rPr>
                <w:rFonts w:ascii="Calibri" w:hAnsi="Calibri"/>
                <w:color w:val="0A1628"/>
                <w:sz w:val="21"/>
              </w:rPr>
              <w:t>Belay, Pilot, and Bench charge $300-$600/month for basic bookkeeping using US-based staff.</w:t>
            </w:r>
          </w:p>
          <w:p>
            <w:pPr>
              <w:spacing w:after="40"/>
            </w:pPr>
            <w:r>
              <w:rPr>
                <w:rFonts w:ascii="Calibri" w:hAnsi="Calibri"/>
                <w:color w:val="0A1628"/>
                <w:sz w:val="21"/>
              </w:rPr>
              <w:t>FinAccSolutions can deliver Big 4-trained, IFRS-certified professionals at a fraction of that cost.</w:t>
            </w:r>
          </w:p>
          <w:p>
            <w:pPr>
              <w:spacing w:after="40"/>
            </w:pPr>
            <w:r>
              <w:rPr>
                <w:rFonts w:ascii="Calibri" w:hAnsi="Calibri"/>
                <w:color w:val="0A1628"/>
                <w:sz w:val="21"/>
              </w:rPr>
              <w:t>This is a dominant competitive advantage that needs to be named explicitly on the homepage. The phrase 'Big 4 quality at a fraction of the cost' is a proven conversion driver in this market.</w:t>
            </w:r>
          </w:p>
        </w:tc>
      </w:tr>
    </w:tbl>
    <w:p/>
    <w:tbl>
      <w:tblPr>
        <w:tblW w:type="auto" w:w="0"/>
        <w:jc w:val="center"/>
        <w:tblLook w:firstColumn="1" w:firstRow="1" w:lastColumn="0" w:lastRow="0" w:noHBand="0" w:noVBand="1" w:val="04A0"/>
      </w:tblPr>
      <w:tblGrid>
        <w:gridCol w:w="9072"/>
      </w:tblGrid>
      <w:tr>
        <w:tc>
          <w:tcPr>
            <w:tcW w:type="dxa" w:w="9072"/>
            <w:shd w:val="clear" w:color="auto" w:fill="FFFBEB"/>
            <w:tcBorders>
              <w:top w:val="single" w:sz="12" w:space="0" w:color="F59E0B"/>
              <w:left w:val="single" w:sz="12" w:space="0" w:color="F59E0B"/>
              <w:bottom w:val="single" w:sz="12" w:space="0" w:color="F59E0B"/>
              <w:right w:val="single" w:sz="12" w:space="0" w:color="F59E0B"/>
            </w:tcBorders>
            <w:tcMar>
              <w:top w:w="140" w:type="dxa"/>
              <w:left w:w="140" w:type="dxa"/>
              <w:bottom w:w="140" w:type="dxa"/>
              <w:right w:w="140" w:type="dxa"/>
            </w:tcMar>
          </w:tcPr>
          <w:p>
            <w:pPr>
              <w:spacing w:after="80"/>
            </w:pPr>
            <w:r>
              <w:rPr>
                <w:rFonts w:ascii="Calibri" w:hAnsi="Calibri"/>
                <w:b/>
                <w:color w:val="F59E0B"/>
                <w:sz w:val="24"/>
              </w:rPr>
              <w:t>Advantage 3 — Group Consolidation is a Niche With No Online Champion</w:t>
            </w:r>
          </w:p>
          <w:p>
            <w:pPr>
              <w:spacing w:after="40"/>
            </w:pPr>
            <w:r>
              <w:rPr>
                <w:rFonts w:ascii="Calibri" w:hAnsi="Calibri"/>
                <w:color w:val="0A1628"/>
                <w:sz w:val="21"/>
              </w:rPr>
              <w:t>Group consolidation (multi-entity, multi-currency, IFRS 10 / ASC 810) is a complex, high-value service.</w:t>
            </w:r>
          </w:p>
          <w:p>
            <w:pPr>
              <w:spacing w:after="40"/>
            </w:pPr>
            <w:r>
              <w:rPr>
                <w:rFonts w:ascii="Calibri" w:hAnsi="Calibri"/>
                <w:color w:val="0A1628"/>
                <w:sz w:val="21"/>
              </w:rPr>
              <w:t>Search terms like 'outsourced group consolidation', 'IFRS 10 consolidation specialist', 'LucaNet consultant remote' have very low competition — almost no service provider has built content around them.</w:t>
            </w:r>
          </w:p>
          <w:p>
            <w:pPr>
              <w:spacing w:after="40"/>
            </w:pPr>
            <w:r>
              <w:rPr>
                <w:rFonts w:ascii="Calibri" w:hAnsi="Calibri"/>
                <w:color w:val="0A1628"/>
                <w:sz w:val="21"/>
              </w:rPr>
              <w:t>FinAccSolutions already has this in the service lineup. Three blog posts and a dedicated landing page could own this niche within 90 days.</w:t>
            </w:r>
          </w:p>
        </w:tc>
      </w:tr>
    </w:tbl>
    <w:p/>
    <w:tbl>
      <w:tblPr>
        <w:tblW w:type="auto" w:w="0"/>
        <w:jc w:val="center"/>
        <w:tblLook w:firstColumn="1" w:firstRow="1" w:lastColumn="0" w:lastRow="0" w:noHBand="0" w:noVBand="1" w:val="04A0"/>
      </w:tblPr>
      <w:tblGrid>
        <w:gridCol w:w="9072"/>
      </w:tblGrid>
      <w:tr>
        <w:tc>
          <w:tcPr>
            <w:tcW w:type="dxa" w:w="9072"/>
            <w:shd w:val="clear" w:color="auto" w:fill="F0F4FF"/>
            <w:tcBorders>
              <w:top w:val="single" w:sz="12" w:space="0" w:color="0A1628"/>
              <w:left w:val="single" w:sz="12" w:space="0" w:color="0A1628"/>
              <w:bottom w:val="single" w:sz="12" w:space="0" w:color="0A1628"/>
              <w:right w:val="single" w:sz="12" w:space="0" w:color="0A1628"/>
            </w:tcBorders>
            <w:tcMar>
              <w:top w:w="140" w:type="dxa"/>
              <w:left w:w="140" w:type="dxa"/>
              <w:bottom w:w="140" w:type="dxa"/>
              <w:right w:w="140" w:type="dxa"/>
            </w:tcMar>
          </w:tcPr>
          <w:p>
            <w:pPr>
              <w:spacing w:after="80"/>
            </w:pPr>
            <w:r>
              <w:rPr>
                <w:rFonts w:ascii="Calibri" w:hAnsi="Calibri"/>
                <w:b/>
                <w:color w:val="0A1628"/>
                <w:sz w:val="24"/>
              </w:rPr>
              <w:t>Advantage 4 — Dual IFRS + US GAAP Capability</w:t>
            </w:r>
          </w:p>
          <w:p>
            <w:pPr>
              <w:spacing w:after="40"/>
            </w:pPr>
            <w:r>
              <w:rPr>
                <w:rFonts w:ascii="Calibri" w:hAnsi="Calibri"/>
                <w:color w:val="0A1628"/>
                <w:sz w:val="21"/>
              </w:rPr>
              <w:t>No US-based competitor can match an offshore team with genuine IFRS expertise.</w:t>
            </w:r>
          </w:p>
          <w:p>
            <w:pPr>
              <w:spacing w:after="40"/>
            </w:pPr>
            <w:r>
              <w:rPr>
                <w:rFonts w:ascii="Calibri" w:hAnsi="Calibri"/>
                <w:color w:val="0A1628"/>
                <w:sz w:val="21"/>
              </w:rPr>
              <w:t>Businesses expanding into Europe, the Middle East, or Asia — or those with international investors — need IFRS-ready accountants. This is a high-value, underserved audience.</w:t>
            </w:r>
          </w:p>
          <w:p>
            <w:pPr>
              <w:spacing w:after="40"/>
            </w:pPr>
            <w:r>
              <w:rPr>
                <w:rFonts w:ascii="Calibri" w:hAnsi="Calibri"/>
                <w:color w:val="0A1628"/>
                <w:sz w:val="21"/>
              </w:rPr>
              <w:t>Targeting 'IFRS bookkeeping services', 'US GAAP to IFRS conversion', and 'IFRS compliant virtual accountant' opens an entirely different market segment.</w:t>
            </w:r>
          </w:p>
        </w:tc>
      </w:tr>
    </w:tbl>
    <w:p/>
    <w:p>
      <w:r>
        <w:br w:type="page"/>
      </w:r>
    </w:p>
    <w:p>
      <w:pPr>
        <w:spacing w:before="360" w:after="120"/>
        <w:jc w:val="left"/>
        <w:pBdr>
          <w:bottom w:val="single" w:sz="6" w:space="2" w:color="1B4FD8"/>
        </w:pBdr>
      </w:pPr>
      <w:r>
        <w:rPr>
          <w:rFonts w:ascii="Calibri" w:hAnsi="Calibri"/>
          <w:b/>
          <w:color w:val="0A1628"/>
          <w:sz w:val="36"/>
        </w:rPr>
        <w:t>4. SEO &amp; Organic Traffic Strategy</w:t>
      </w:r>
    </w:p>
    <w:p>
      <w:pPr>
        <w:spacing w:before="0" w:after="100"/>
      </w:pPr>
      <w:r>
        <w:rPr>
          <w:rFonts w:ascii="Calibri" w:hAnsi="Calibri"/>
          <w:sz w:val="22"/>
        </w:rPr>
        <w:t>Organic search traffic has a 5.3x ROI compared to 2x for paid search (industry benchmark). The following section covers the structural SEO fixes needed immediately, followed by the keyword strategy for sustained traffic growth.</w:t>
      </w:r>
    </w:p>
    <w:p>
      <w:pPr>
        <w:spacing w:before="240" w:after="80"/>
      </w:pPr>
      <w:r>
        <w:rPr>
          <w:rFonts w:ascii="Calibri" w:hAnsi="Calibri"/>
          <w:b/>
          <w:color w:val="1B4FD8"/>
          <w:sz w:val="28"/>
        </w:rPr>
        <w:t>4.1  Structural SEO Fixes (Technical Foundation)</w:t>
      </w:r>
    </w:p>
    <w:p>
      <w:pPr>
        <w:spacing w:before="160" w:after="40"/>
      </w:pPr>
      <w:r>
        <w:rPr>
          <w:rFonts w:ascii="Calibri" w:hAnsi="Calibri"/>
          <w:b/>
          <w:color w:val="0A1628"/>
          <w:sz w:val="24"/>
        </w:rPr>
        <w:t>sitemap.xml</w:t>
      </w:r>
    </w:p>
    <w:p>
      <w:pPr>
        <w:spacing w:before="0" w:after="100"/>
      </w:pPr>
      <w:r>
        <w:rPr>
          <w:rFonts w:ascii="Calibri" w:hAnsi="Calibri"/>
          <w:sz w:val="22"/>
        </w:rPr>
        <w:t>There is currently no sitemap.xml. Google cannot efficiently discover and index pages without it. For a Next.js 14+ App Router project, add a sitemap.ts file at app/sitemap.ts — it generates the XML automatically on build.</w:t>
      </w:r>
    </w:p>
    <w:p>
      <w:pPr>
        <w:spacing w:before="160" w:after="40"/>
      </w:pPr>
      <w:r>
        <w:rPr>
          <w:rFonts w:ascii="Calibri" w:hAnsi="Calibri"/>
          <w:b/>
          <w:color w:val="0A1628"/>
          <w:sz w:val="24"/>
        </w:rPr>
        <w:t>robots.txt</w:t>
      </w:r>
    </w:p>
    <w:p>
      <w:pPr>
        <w:spacing w:before="0" w:after="100"/>
      </w:pPr>
      <w:r>
        <w:rPr>
          <w:rFonts w:ascii="Calibri" w:hAnsi="Calibri"/>
          <w:sz w:val="22"/>
        </w:rPr>
        <w:t>There is no robots.txt file. Add app/robots.ts in Next.js to serve /robots.txt, allowing all crawlers and pointing to the sitemap.</w:t>
      </w:r>
    </w:p>
    <w:p>
      <w:pPr>
        <w:spacing w:before="160" w:after="40"/>
      </w:pPr>
      <w:r>
        <w:rPr>
          <w:rFonts w:ascii="Calibri" w:hAnsi="Calibri"/>
          <w:b/>
          <w:color w:val="0A1628"/>
          <w:sz w:val="24"/>
        </w:rPr>
        <w:t>Schema Markup / Structured Data</w:t>
      </w:r>
    </w:p>
    <w:p>
      <w:pPr>
        <w:spacing w:before="0" w:after="100"/>
      </w:pPr>
      <w:r>
        <w:rPr>
          <w:rFonts w:ascii="Calibri" w:hAnsi="Calibri"/>
          <w:sz w:val="22"/>
        </w:rPr>
        <w:t>Add JSON-LD structured data to layout.tsx for the following schema types:</w:t>
      </w:r>
    </w:p>
    <w:p>
      <w:pPr>
        <w:pStyle w:val="ListBullet"/>
        <w:spacing w:after="60"/>
        <w:ind w:left="432"/>
      </w:pPr>
      <w:r>
        <w:rPr>
          <w:rFonts w:ascii="Calibri" w:hAnsi="Calibri"/>
          <w:sz w:val="22"/>
        </w:rPr>
        <w:t>Organization — business name, URL, logo, contact details, social links</w:t>
      </w:r>
    </w:p>
    <w:p>
      <w:pPr>
        <w:pStyle w:val="ListBullet"/>
        <w:spacing w:after="60"/>
        <w:ind w:left="432"/>
      </w:pPr>
      <w:r>
        <w:rPr>
          <w:rFonts w:ascii="Calibri" w:hAnsi="Calibri"/>
          <w:sz w:val="22"/>
        </w:rPr>
        <w:t>LocalBusiness (or ProfessionalService) — location, hours, service area</w:t>
      </w:r>
    </w:p>
    <w:p>
      <w:pPr>
        <w:pStyle w:val="ListBullet"/>
        <w:spacing w:after="60"/>
        <w:ind w:left="432"/>
      </w:pPr>
      <w:r>
        <w:rPr>
          <w:rFonts w:ascii="Calibri" w:hAnsi="Calibri"/>
          <w:sz w:val="22"/>
        </w:rPr>
        <w:t>Service — one schema block per core service (Bookkeeping, Payroll, etc.)</w:t>
      </w:r>
    </w:p>
    <w:p>
      <w:pPr>
        <w:pStyle w:val="ListBullet"/>
        <w:spacing w:after="60"/>
        <w:ind w:left="432"/>
      </w:pPr>
      <w:r>
        <w:rPr>
          <w:rFonts w:ascii="Calibri" w:hAnsi="Calibri"/>
          <w:sz w:val="22"/>
        </w:rPr>
        <w:t>FAQPage — once an FAQ section is added (see Section 5.3)</w:t>
      </w:r>
    </w:p>
    <w:p>
      <w:pPr>
        <w:spacing w:before="0" w:after="100"/>
      </w:pPr>
      <w:r>
        <w:rPr>
          <w:rFonts w:ascii="Calibri" w:hAnsi="Calibri"/>
          <w:sz w:val="22"/>
        </w:rPr>
        <w:t>Schema markup is a direct ranking signal. Services with FAQPage schema often appear as rich results (expanded Q&amp;A blocks) in Google, dramatically increasing click-through rate.</w:t>
      </w:r>
    </w:p>
    <w:p>
      <w:pPr>
        <w:spacing w:before="160" w:after="40"/>
      </w:pPr>
      <w:r>
        <w:rPr>
          <w:rFonts w:ascii="Calibri" w:hAnsi="Calibri"/>
          <w:b/>
          <w:color w:val="0A1628"/>
          <w:sz w:val="24"/>
        </w:rPr>
        <w:t>Meta Title &amp; Description Optimization</w:t>
      </w:r>
    </w:p>
    <w:p>
      <w:pPr>
        <w:spacing w:before="0" w:after="100"/>
      </w:pPr>
      <w:r>
        <w:rPr>
          <w:rFonts w:ascii="Calibri" w:hAnsi="Calibri"/>
          <w:sz w:val="22"/>
        </w:rPr>
        <w:t>The current title and description target zero search keywords. Replace with keyword-rich, click-optimized versions: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val="clear" w:color="auto" w:fill="1B4FD8"/>
          </w:tcPr>
          <w:p>
            <w:pPr>
              <w:jc w:val="center"/>
            </w:pPr>
            <w:r>
              <w:rPr>
                <w:rFonts w:ascii="Calibri" w:hAnsi="Calibri"/>
                <w:b/>
                <w:color w:val="FFFFFF"/>
                <w:sz w:val="21"/>
              </w:rPr>
              <w:t>Element</w:t>
            </w:r>
          </w:p>
        </w:tc>
        <w:tc>
          <w:tcPr>
            <w:tcW w:type="dxa" w:w="3456"/>
            <w:shd w:val="clear" w:color="auto" w:fill="1B4FD8"/>
          </w:tcPr>
          <w:p>
            <w:pPr>
              <w:jc w:val="center"/>
            </w:pPr>
            <w:r>
              <w:rPr>
                <w:rFonts w:ascii="Calibri" w:hAnsi="Calibri"/>
                <w:b/>
                <w:color w:val="FFFFFF"/>
                <w:sz w:val="21"/>
              </w:rPr>
              <w:t>Current (Weak)</w:t>
            </w:r>
          </w:p>
        </w:tc>
        <w:tc>
          <w:tcPr>
            <w:tcW w:type="dxa" w:w="4176"/>
            <w:shd w:val="clear" w:color="auto" w:fill="1B4FD8"/>
          </w:tcPr>
          <w:p>
            <w:pPr>
              <w:jc w:val="center"/>
            </w:pPr>
            <w:r>
              <w:rPr>
                <w:rFonts w:ascii="Calibri" w:hAnsi="Calibri"/>
                <w:b/>
                <w:color w:val="FFFFFF"/>
                <w:sz w:val="21"/>
              </w:rPr>
              <w:t>Recommended (Keyword-Rich)</w:t>
            </w:r>
          </w:p>
        </w:tc>
      </w:tr>
      <w:tr>
        <w:tc>
          <w:tcPr>
            <w:tcW w:type="dxa" w:w="1728"/>
            <w:shd w:val="clear" w:color="auto" w:fill="F0F4FF"/>
          </w:tcPr>
          <w:p>
            <w:pPr>
              <w:spacing w:after="40"/>
            </w:pPr>
            <w:r>
              <w:rPr>
                <w:rFonts w:ascii="Calibri" w:hAnsi="Calibri"/>
                <w:color w:val="0A1628"/>
                <w:sz w:val="20"/>
              </w:rPr>
              <w:t>Title Tag</w:t>
            </w:r>
          </w:p>
        </w:tc>
        <w:tc>
          <w:tcPr>
            <w:tcW w:type="dxa" w:w="3456"/>
            <w:shd w:val="clear" w:color="auto" w:fill="F0F4FF"/>
          </w:tcPr>
          <w:p>
            <w:pPr>
              <w:spacing w:after="40"/>
            </w:pPr>
            <w:r>
              <w:rPr>
                <w:rFonts w:ascii="Calibri" w:hAnsi="Calibri"/>
                <w:color w:val="0A1628"/>
                <w:sz w:val="20"/>
              </w:rPr>
              <w:t>FinAccSolutions | Precision. Integrity. Growth.</w:t>
            </w:r>
          </w:p>
        </w:tc>
        <w:tc>
          <w:tcPr>
            <w:tcW w:type="dxa" w:w="4176"/>
            <w:shd w:val="clear" w:color="auto" w:fill="F0F4FF"/>
          </w:tcPr>
          <w:p>
            <w:pPr>
              <w:spacing w:after="40"/>
            </w:pPr>
            <w:r>
              <w:rPr>
                <w:rFonts w:ascii="Calibri" w:hAnsi="Calibri"/>
                <w:color w:val="0A1628"/>
                <w:sz w:val="20"/>
              </w:rPr>
              <w:t>Virtual Bookkeeping &amp; Accounting Services | FinAccSolutions</w:t>
            </w:r>
          </w:p>
        </w:tc>
      </w:tr>
      <w:tr>
        <w:tc>
          <w:tcPr>
            <w:tcW w:type="dxa" w:w="1728"/>
            <w:shd w:val="clear" w:color="auto" w:fill="FFFFFF"/>
          </w:tcPr>
          <w:p>
            <w:pPr>
              <w:spacing w:after="40"/>
            </w:pPr>
            <w:r>
              <w:rPr>
                <w:rFonts w:ascii="Calibri" w:hAnsi="Calibri"/>
                <w:color w:val="0A1628"/>
                <w:sz w:val="20"/>
              </w:rPr>
              <w:t>Meta Description</w:t>
            </w:r>
          </w:p>
        </w:tc>
        <w:tc>
          <w:tcPr>
            <w:tcW w:type="dxa" w:w="3456"/>
            <w:shd w:val="clear" w:color="auto" w:fill="FFFFFF"/>
          </w:tcPr>
          <w:p>
            <w:pPr>
              <w:spacing w:after="40"/>
            </w:pPr>
            <w:r>
              <w:rPr>
                <w:rFonts w:ascii="Calibri" w:hAnsi="Calibri"/>
                <w:color w:val="0A1628"/>
                <w:sz w:val="20"/>
              </w:rPr>
              <w:t>Flexible finance and accounting solutions...</w:t>
            </w:r>
          </w:p>
        </w:tc>
        <w:tc>
          <w:tcPr>
            <w:tcW w:type="dxa" w:w="4176"/>
            <w:shd w:val="clear" w:color="auto" w:fill="FFFFFF"/>
          </w:tcPr>
          <w:p>
            <w:pPr>
              <w:spacing w:after="40"/>
            </w:pPr>
            <w:r>
              <w:rPr>
                <w:rFonts w:ascii="Calibri" w:hAnsi="Calibri"/>
                <w:color w:val="0A1628"/>
                <w:sz w:val="20"/>
              </w:rPr>
              <w:t>Big 4-trained virtual accountants &amp; bookkeepers. IFRS &amp; US GAAP certified. Bookkeeping, payroll, group consolidation &amp; CFO services. 30+ countries served.</w:t>
            </w:r>
          </w:p>
        </w:tc>
      </w:tr>
      <w:tr>
        <w:tc>
          <w:tcPr>
            <w:tcW w:type="dxa" w:w="1728"/>
            <w:shd w:val="clear" w:color="auto" w:fill="F0F4FF"/>
          </w:tcPr>
          <w:p>
            <w:pPr>
              <w:spacing w:after="40"/>
            </w:pPr>
            <w:r>
              <w:rPr>
                <w:rFonts w:ascii="Calibri" w:hAnsi="Calibri"/>
                <w:color w:val="0A1628"/>
                <w:sz w:val="20"/>
              </w:rPr>
              <w:t>OG Image</w:t>
            </w:r>
          </w:p>
        </w:tc>
        <w:tc>
          <w:tcPr>
            <w:tcW w:type="dxa" w:w="3456"/>
            <w:shd w:val="clear" w:color="auto" w:fill="F0F4FF"/>
          </w:tcPr>
          <w:p>
            <w:pPr>
              <w:spacing w:after="40"/>
            </w:pPr>
            <w:r>
              <w:rPr>
                <w:rFonts w:ascii="Calibri" w:hAnsi="Calibri"/>
                <w:color w:val="0A1628"/>
                <w:sz w:val="20"/>
              </w:rPr>
              <w:t>None</w:t>
            </w:r>
          </w:p>
        </w:tc>
        <w:tc>
          <w:tcPr>
            <w:tcW w:type="dxa" w:w="4176"/>
            <w:shd w:val="clear" w:color="auto" w:fill="F0F4FF"/>
          </w:tcPr>
          <w:p>
            <w:pPr>
              <w:spacing w:after="40"/>
            </w:pPr>
            <w:r>
              <w:rPr>
                <w:rFonts w:ascii="Calibri" w:hAnsi="Calibri"/>
                <w:color w:val="0A1628"/>
                <w:sz w:val="20"/>
              </w:rPr>
              <w:t>1200x630px branded image with headline and logo</w:t>
            </w:r>
          </w:p>
        </w:tc>
      </w:tr>
    </w:tbl>
    <w:p/>
    <w:p>
      <w:pPr>
        <w:spacing w:before="160" w:after="40"/>
      </w:pPr>
      <w:r>
        <w:rPr>
          <w:rFonts w:ascii="Calibri" w:hAnsi="Calibri"/>
          <w:b/>
          <w:color w:val="0A1628"/>
          <w:sz w:val="24"/>
        </w:rPr>
        <w:t>Page Speed &amp; Core Web Vitals</w:t>
      </w:r>
    </w:p>
    <w:p>
      <w:pPr>
        <w:spacing w:before="0" w:after="100"/>
      </w:pPr>
      <w:r>
        <w:rPr>
          <w:rFonts w:ascii="Calibri" w:hAnsi="Calibri"/>
          <w:sz w:val="22"/>
        </w:rPr>
        <w:t>The hero section runs multiple setInterval animations simultaneously on mount. Multiple overlapping blur/glow CSS animations with willChange: 'transform, opacity' can cause paint jank on lower-end devices. Run a Lighthouse audit and ensure LCP (Largest Contentful Paint) is under 2.5s and CLS (Cumulative Layout Shift) is under 0.1 — both are Google ranking factors.</w:t>
      </w:r>
    </w:p>
    <w:p>
      <w:pPr>
        <w:spacing w:before="240" w:after="80"/>
      </w:pPr>
      <w:r>
        <w:rPr>
          <w:rFonts w:ascii="Calibri" w:hAnsi="Calibri"/>
          <w:b/>
          <w:color w:val="1B4FD8"/>
          <w:sz w:val="28"/>
        </w:rPr>
        <w:t>4.2  High-Intent Keyword Clusters</w:t>
      </w:r>
    </w:p>
    <w:p>
      <w:pPr>
        <w:spacing w:before="0" w:after="100"/>
      </w:pPr>
      <w:r>
        <w:rPr>
          <w:rFonts w:ascii="Calibri" w:hAnsi="Calibri"/>
          <w:sz w:val="22"/>
        </w:rPr>
        <w:t>The following keyword clusters are prioritized by search intent strength (immediate hire vs. research) and by the competitive opportunity available to FinAccSolutions.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val="clear" w:color="auto" w:fill="1B4FD8"/>
          </w:tcPr>
          <w:p>
            <w:pPr>
              <w:jc w:val="center"/>
            </w:pPr>
            <w:r>
              <w:rPr>
                <w:rFonts w:ascii="Calibri" w:hAnsi="Calibri"/>
                <w:b/>
                <w:color w:val="FFFFFF"/>
                <w:sz w:val="21"/>
              </w:rPr>
              <w:t>Cluster</w:t>
            </w:r>
          </w:p>
        </w:tc>
        <w:tc>
          <w:tcPr>
            <w:tcW w:type="dxa" w:w="3312"/>
            <w:shd w:val="clear" w:color="auto" w:fill="1B4FD8"/>
          </w:tcPr>
          <w:p>
            <w:pPr>
              <w:jc w:val="center"/>
            </w:pPr>
            <w:r>
              <w:rPr>
                <w:rFonts w:ascii="Calibri" w:hAnsi="Calibri"/>
                <w:b/>
                <w:color w:val="FFFFFF"/>
                <w:sz w:val="21"/>
              </w:rPr>
              <w:t>Target Keywords</w:t>
            </w:r>
          </w:p>
        </w:tc>
        <w:tc>
          <w:tcPr>
            <w:tcW w:type="dxa" w:w="1440"/>
            <w:shd w:val="clear" w:color="auto" w:fill="1B4FD8"/>
          </w:tcPr>
          <w:p>
            <w:pPr>
              <w:jc w:val="center"/>
            </w:pPr>
            <w:r>
              <w:rPr>
                <w:rFonts w:ascii="Calibri" w:hAnsi="Calibri"/>
                <w:b/>
                <w:color w:val="FFFFFF"/>
                <w:sz w:val="21"/>
              </w:rPr>
              <w:t>Priority</w:t>
            </w:r>
          </w:p>
        </w:tc>
        <w:tc>
          <w:tcPr>
            <w:tcW w:type="dxa" w:w="2592"/>
            <w:shd w:val="clear" w:color="auto" w:fill="1B4FD8"/>
          </w:tcPr>
          <w:p>
            <w:pPr>
              <w:jc w:val="center"/>
            </w:pPr>
            <w:r>
              <w:rPr>
                <w:rFonts w:ascii="Calibri" w:hAnsi="Calibri"/>
                <w:b/>
                <w:color w:val="FFFFFF"/>
                <w:sz w:val="21"/>
              </w:rPr>
              <w:t>Why It Fits</w:t>
            </w:r>
          </w:p>
        </w:tc>
      </w:tr>
      <w:tr>
        <w:tc>
          <w:tcPr>
            <w:tcW w:type="dxa" w:w="2016"/>
            <w:shd w:val="clear" w:color="auto" w:fill="F0F4FF"/>
          </w:tcPr>
          <w:p>
            <w:pPr>
              <w:spacing w:after="40"/>
            </w:pPr>
            <w:r>
              <w:rPr>
                <w:rFonts w:ascii="Calibri" w:hAnsi="Calibri"/>
                <w:color w:val="0A1628"/>
                <w:sz w:val="20"/>
              </w:rPr>
              <w:t>Virtual Bookkeeper Hire</w:t>
            </w:r>
          </w:p>
        </w:tc>
        <w:tc>
          <w:tcPr>
            <w:tcW w:type="dxa" w:w="3312"/>
            <w:shd w:val="clear" w:color="auto" w:fill="F0F4FF"/>
          </w:tcPr>
          <w:p>
            <w:pPr>
              <w:spacing w:after="40"/>
            </w:pPr>
            <w:r>
              <w:rPr>
                <w:rFonts w:ascii="Calibri" w:hAnsi="Calibri"/>
                <w:color w:val="0A1628"/>
                <w:sz w:val="20"/>
              </w:rPr>
              <w:t>virtual bookkeeper for small business, hire remote bookkeeper, outsourced bookkeeping services, online bookkeeping service</w:t>
            </w:r>
          </w:p>
        </w:tc>
        <w:tc>
          <w:tcPr>
            <w:tcW w:type="dxa" w:w="1440"/>
            <w:shd w:val="clear" w:color="auto" w:fill="F0F4FF"/>
          </w:tcPr>
          <w:p>
            <w:pPr>
              <w:spacing w:after="40"/>
            </w:pPr>
            <w:r>
              <w:rPr>
                <w:rFonts w:ascii="Calibri" w:hAnsi="Calibri"/>
                <w:color w:val="0A1628"/>
                <w:sz w:val="20"/>
              </w:rPr>
              <w:t>P1 — Immediate</w:t>
            </w:r>
          </w:p>
        </w:tc>
        <w:tc>
          <w:tcPr>
            <w:tcW w:type="dxa" w:w="2592"/>
            <w:shd w:val="clear" w:color="auto" w:fill="F0F4FF"/>
          </w:tcPr>
          <w:p>
            <w:pPr>
              <w:spacing w:after="40"/>
            </w:pPr>
            <w:r>
              <w:rPr>
                <w:rFonts w:ascii="Calibri" w:hAnsi="Calibri"/>
                <w:color w:val="0A1628"/>
                <w:sz w:val="20"/>
              </w:rPr>
              <w:t>Highest volume, ready-to-hire intent</w:t>
            </w:r>
          </w:p>
        </w:tc>
      </w:tr>
      <w:tr>
        <w:tc>
          <w:tcPr>
            <w:tcW w:type="dxa" w:w="2016"/>
            <w:shd w:val="clear" w:color="auto" w:fill="FFFFFF"/>
          </w:tcPr>
          <w:p>
            <w:pPr>
              <w:spacing w:after="40"/>
            </w:pPr>
            <w:r>
              <w:rPr>
                <w:rFonts w:ascii="Calibri" w:hAnsi="Calibri"/>
                <w:color w:val="0A1628"/>
                <w:sz w:val="20"/>
              </w:rPr>
              <w:t>Bench Alternative</w:t>
            </w:r>
          </w:p>
        </w:tc>
        <w:tc>
          <w:tcPr>
            <w:tcW w:type="dxa" w:w="3312"/>
            <w:shd w:val="clear" w:color="auto" w:fill="FFFFFF"/>
          </w:tcPr>
          <w:p>
            <w:pPr>
              <w:spacing w:after="40"/>
            </w:pPr>
            <w:r>
              <w:rPr>
                <w:rFonts w:ascii="Calibri" w:hAnsi="Calibri"/>
                <w:color w:val="0A1628"/>
                <w:sz w:val="20"/>
              </w:rPr>
              <w:t>bench accounting alternative, bench accounting replacement, best bookkeeping service after bench shutdown</w:t>
            </w:r>
          </w:p>
        </w:tc>
        <w:tc>
          <w:tcPr>
            <w:tcW w:type="dxa" w:w="1440"/>
            <w:shd w:val="clear" w:color="auto" w:fill="FFFFFF"/>
          </w:tcPr>
          <w:p>
            <w:pPr>
              <w:spacing w:after="40"/>
            </w:pPr>
            <w:r>
              <w:rPr>
                <w:rFonts w:ascii="Calibri" w:hAnsi="Calibri"/>
                <w:color w:val="0A1628"/>
                <w:sz w:val="20"/>
              </w:rPr>
              <w:t>P1 — Immediate</w:t>
            </w:r>
          </w:p>
        </w:tc>
        <w:tc>
          <w:tcPr>
            <w:tcW w:type="dxa" w:w="2592"/>
            <w:shd w:val="clear" w:color="auto" w:fill="FFFFFF"/>
          </w:tcPr>
          <w:p>
            <w:pPr>
              <w:spacing w:after="40"/>
            </w:pPr>
            <w:r>
              <w:rPr>
                <w:rFonts w:ascii="Calibri" w:hAnsi="Calibri"/>
                <w:color w:val="0A1628"/>
                <w:sz w:val="20"/>
              </w:rPr>
              <w:t>Bench closed Dec 2024; massive displaced audience</w:t>
            </w:r>
          </w:p>
        </w:tc>
      </w:tr>
      <w:tr>
        <w:tc>
          <w:tcPr>
            <w:tcW w:type="dxa" w:w="2016"/>
            <w:shd w:val="clear" w:color="auto" w:fill="F0F4FF"/>
          </w:tcPr>
          <w:p>
            <w:pPr>
              <w:spacing w:after="40"/>
            </w:pPr>
            <w:r>
              <w:rPr>
                <w:rFonts w:ascii="Calibri" w:hAnsi="Calibri"/>
                <w:color w:val="0A1628"/>
                <w:sz w:val="20"/>
              </w:rPr>
              <w:t>IFRS Services</w:t>
            </w:r>
          </w:p>
        </w:tc>
        <w:tc>
          <w:tcPr>
            <w:tcW w:type="dxa" w:w="3312"/>
            <w:shd w:val="clear" w:color="auto" w:fill="F0F4FF"/>
          </w:tcPr>
          <w:p>
            <w:pPr>
              <w:spacing w:after="40"/>
            </w:pPr>
            <w:r>
              <w:rPr>
                <w:rFonts w:ascii="Calibri" w:hAnsi="Calibri"/>
                <w:color w:val="0A1628"/>
                <w:sz w:val="20"/>
              </w:rPr>
              <w:t>IFRS bookkeeping services, IFRS compliant accountant, US GAAP to IFRS conversion, IFRS 10 consolidation</w:t>
            </w:r>
          </w:p>
        </w:tc>
        <w:tc>
          <w:tcPr>
            <w:tcW w:type="dxa" w:w="1440"/>
            <w:shd w:val="clear" w:color="auto" w:fill="F0F4FF"/>
          </w:tcPr>
          <w:p>
            <w:pPr>
              <w:spacing w:after="40"/>
            </w:pPr>
            <w:r>
              <w:rPr>
                <w:rFonts w:ascii="Calibri" w:hAnsi="Calibri"/>
                <w:color w:val="0A1628"/>
                <w:sz w:val="20"/>
              </w:rPr>
              <w:t>P1 — High Value</w:t>
            </w:r>
          </w:p>
        </w:tc>
        <w:tc>
          <w:tcPr>
            <w:tcW w:type="dxa" w:w="2592"/>
            <w:shd w:val="clear" w:color="auto" w:fill="F0F4FF"/>
          </w:tcPr>
          <w:p>
            <w:pPr>
              <w:spacing w:after="40"/>
            </w:pPr>
            <w:r>
              <w:rPr>
                <w:rFonts w:ascii="Calibri" w:hAnsi="Calibri"/>
                <w:color w:val="0A1628"/>
                <w:sz w:val="20"/>
              </w:rPr>
              <w:t>Low competition, high fee work, rare expertise</w:t>
            </w:r>
          </w:p>
        </w:tc>
      </w:tr>
      <w:tr>
        <w:tc>
          <w:tcPr>
            <w:tcW w:type="dxa" w:w="2016"/>
            <w:shd w:val="clear" w:color="auto" w:fill="FFFFFF"/>
          </w:tcPr>
          <w:p>
            <w:pPr>
              <w:spacing w:after="40"/>
            </w:pPr>
            <w:r>
              <w:rPr>
                <w:rFonts w:ascii="Calibri" w:hAnsi="Calibri"/>
                <w:color w:val="0A1628"/>
                <w:sz w:val="20"/>
              </w:rPr>
              <w:t>Group Consolidation</w:t>
            </w:r>
          </w:p>
        </w:tc>
        <w:tc>
          <w:tcPr>
            <w:tcW w:type="dxa" w:w="3312"/>
            <w:shd w:val="clear" w:color="auto" w:fill="FFFFFF"/>
          </w:tcPr>
          <w:p>
            <w:pPr>
              <w:spacing w:after="40"/>
            </w:pPr>
            <w:r>
              <w:rPr>
                <w:rFonts w:ascii="Calibri" w:hAnsi="Calibri"/>
                <w:color w:val="0A1628"/>
                <w:sz w:val="20"/>
              </w:rPr>
              <w:t>outsourced group consolidation, multi-entity consolidation service, LucaNet consultant remote, SAP BPC outsourcing</w:t>
            </w:r>
          </w:p>
        </w:tc>
        <w:tc>
          <w:tcPr>
            <w:tcW w:type="dxa" w:w="1440"/>
            <w:shd w:val="clear" w:color="auto" w:fill="FFFFFF"/>
          </w:tcPr>
          <w:p>
            <w:pPr>
              <w:spacing w:after="40"/>
            </w:pPr>
            <w:r>
              <w:rPr>
                <w:rFonts w:ascii="Calibri" w:hAnsi="Calibri"/>
                <w:color w:val="0A1628"/>
                <w:sz w:val="20"/>
              </w:rPr>
              <w:t>P2 — Niche Own</w:t>
            </w:r>
          </w:p>
        </w:tc>
        <w:tc>
          <w:tcPr>
            <w:tcW w:type="dxa" w:w="2592"/>
            <w:shd w:val="clear" w:color="auto" w:fill="FFFFFF"/>
          </w:tcPr>
          <w:p>
            <w:pPr>
              <w:spacing w:after="40"/>
            </w:pPr>
            <w:r>
              <w:rPr>
                <w:rFonts w:ascii="Calibri" w:hAnsi="Calibri"/>
                <w:color w:val="0A1628"/>
                <w:sz w:val="20"/>
              </w:rPr>
              <w:t>Near-zero competition, complex high-value service</w:t>
            </w:r>
          </w:p>
        </w:tc>
      </w:tr>
      <w:tr>
        <w:tc>
          <w:tcPr>
            <w:tcW w:type="dxa" w:w="2016"/>
            <w:shd w:val="clear" w:color="auto" w:fill="F0F4FF"/>
          </w:tcPr>
          <w:p>
            <w:pPr>
              <w:spacing w:after="40"/>
            </w:pPr>
            <w:r>
              <w:rPr>
                <w:rFonts w:ascii="Calibri" w:hAnsi="Calibri"/>
                <w:color w:val="0A1628"/>
                <w:sz w:val="20"/>
              </w:rPr>
              <w:t>Virtual CFO / Fundraising</w:t>
            </w:r>
          </w:p>
        </w:tc>
        <w:tc>
          <w:tcPr>
            <w:tcW w:type="dxa" w:w="3312"/>
            <w:shd w:val="clear" w:color="auto" w:fill="F0F4FF"/>
          </w:tcPr>
          <w:p>
            <w:pPr>
              <w:spacing w:after="40"/>
            </w:pPr>
            <w:r>
              <w:rPr>
                <w:rFonts w:ascii="Calibri" w:hAnsi="Calibri"/>
                <w:color w:val="0A1628"/>
                <w:sz w:val="20"/>
              </w:rPr>
              <w:t>virtual CFO for startups, investor-ready financial model, fundraising financial model service, pitch deck financials</w:t>
            </w:r>
          </w:p>
        </w:tc>
        <w:tc>
          <w:tcPr>
            <w:tcW w:type="dxa" w:w="1440"/>
            <w:shd w:val="clear" w:color="auto" w:fill="F0F4FF"/>
          </w:tcPr>
          <w:p>
            <w:pPr>
              <w:spacing w:after="40"/>
            </w:pPr>
            <w:r>
              <w:rPr>
                <w:rFonts w:ascii="Calibri" w:hAnsi="Calibri"/>
                <w:color w:val="0A1628"/>
                <w:sz w:val="20"/>
              </w:rPr>
              <w:t>P2 — High Value</w:t>
            </w:r>
          </w:p>
        </w:tc>
        <w:tc>
          <w:tcPr>
            <w:tcW w:type="dxa" w:w="2592"/>
            <w:shd w:val="clear" w:color="auto" w:fill="F0F4FF"/>
          </w:tcPr>
          <w:p>
            <w:pPr>
              <w:spacing w:after="40"/>
            </w:pPr>
            <w:r>
              <w:rPr>
                <w:rFonts w:ascii="Calibri" w:hAnsi="Calibri"/>
                <w:color w:val="0A1628"/>
                <w:sz w:val="20"/>
              </w:rPr>
              <w:t>Startup market growing fast, high fees</w:t>
            </w:r>
          </w:p>
        </w:tc>
      </w:tr>
      <w:tr>
        <w:tc>
          <w:tcPr>
            <w:tcW w:type="dxa" w:w="2016"/>
            <w:shd w:val="clear" w:color="auto" w:fill="FFFFFF"/>
          </w:tcPr>
          <w:p>
            <w:pPr>
              <w:spacing w:after="40"/>
            </w:pPr>
            <w:r>
              <w:rPr>
                <w:rFonts w:ascii="Calibri" w:hAnsi="Calibri"/>
                <w:color w:val="0A1628"/>
                <w:sz w:val="20"/>
              </w:rPr>
              <w:t>Payroll Outsourcing</w:t>
            </w:r>
          </w:p>
        </w:tc>
        <w:tc>
          <w:tcPr>
            <w:tcW w:type="dxa" w:w="3312"/>
            <w:shd w:val="clear" w:color="auto" w:fill="FFFFFF"/>
          </w:tcPr>
          <w:p>
            <w:pPr>
              <w:spacing w:after="40"/>
            </w:pPr>
            <w:r>
              <w:rPr>
                <w:rFonts w:ascii="Calibri" w:hAnsi="Calibri"/>
                <w:color w:val="0A1628"/>
                <w:sz w:val="20"/>
              </w:rPr>
              <w:t>outsourced payroll services, remote payroll management, payroll for small business</w:t>
            </w:r>
          </w:p>
        </w:tc>
        <w:tc>
          <w:tcPr>
            <w:tcW w:type="dxa" w:w="1440"/>
            <w:shd w:val="clear" w:color="auto" w:fill="FFFFFF"/>
          </w:tcPr>
          <w:p>
            <w:pPr>
              <w:spacing w:after="40"/>
            </w:pPr>
            <w:r>
              <w:rPr>
                <w:rFonts w:ascii="Calibri" w:hAnsi="Calibri"/>
                <w:color w:val="0A1628"/>
                <w:sz w:val="20"/>
              </w:rPr>
              <w:t>P2 — Volume</w:t>
            </w:r>
          </w:p>
        </w:tc>
        <w:tc>
          <w:tcPr>
            <w:tcW w:type="dxa" w:w="2592"/>
            <w:shd w:val="clear" w:color="auto" w:fill="FFFFFF"/>
          </w:tcPr>
          <w:p>
            <w:pPr>
              <w:spacing w:after="40"/>
            </w:pPr>
            <w:r>
              <w:rPr>
                <w:rFonts w:ascii="Calibri" w:hAnsi="Calibri"/>
                <w:color w:val="0A1628"/>
                <w:sz w:val="20"/>
              </w:rPr>
              <w:t>Recurring revenue service, steady search volume</w:t>
            </w:r>
          </w:p>
        </w:tc>
      </w:tr>
      <w:tr>
        <w:tc>
          <w:tcPr>
            <w:tcW w:type="dxa" w:w="2016"/>
            <w:shd w:val="clear" w:color="auto" w:fill="F0F4FF"/>
          </w:tcPr>
          <w:p>
            <w:pPr>
              <w:spacing w:after="40"/>
            </w:pPr>
            <w:r>
              <w:rPr>
                <w:rFonts w:ascii="Calibri" w:hAnsi="Calibri"/>
                <w:color w:val="0A1628"/>
                <w:sz w:val="20"/>
              </w:rPr>
              <w:t>Tax Records Cleanup</w:t>
            </w:r>
          </w:p>
        </w:tc>
        <w:tc>
          <w:tcPr>
            <w:tcW w:type="dxa" w:w="3312"/>
            <w:shd w:val="clear" w:color="auto" w:fill="F0F4FF"/>
          </w:tcPr>
          <w:p>
            <w:pPr>
              <w:spacing w:after="40"/>
            </w:pPr>
            <w:r>
              <w:rPr>
                <w:rFonts w:ascii="Calibri" w:hAnsi="Calibri"/>
                <w:color w:val="0A1628"/>
                <w:sz w:val="20"/>
              </w:rPr>
              <w:t>catch-up bookkeeping, clean up financial records, tax record cleanup service</w:t>
            </w:r>
          </w:p>
        </w:tc>
        <w:tc>
          <w:tcPr>
            <w:tcW w:type="dxa" w:w="1440"/>
            <w:shd w:val="clear" w:color="auto" w:fill="F0F4FF"/>
          </w:tcPr>
          <w:p>
            <w:pPr>
              <w:spacing w:after="40"/>
            </w:pPr>
            <w:r>
              <w:rPr>
                <w:rFonts w:ascii="Calibri" w:hAnsi="Calibri"/>
                <w:color w:val="0A1628"/>
                <w:sz w:val="20"/>
              </w:rPr>
              <w:t>P3 — Long-tail</w:t>
            </w:r>
          </w:p>
        </w:tc>
        <w:tc>
          <w:tcPr>
            <w:tcW w:type="dxa" w:w="2592"/>
            <w:shd w:val="clear" w:color="auto" w:fill="F0F4FF"/>
          </w:tcPr>
          <w:p>
            <w:pPr>
              <w:spacing w:after="40"/>
            </w:pPr>
            <w:r>
              <w:rPr>
                <w:rFonts w:ascii="Calibri" w:hAnsi="Calibri"/>
                <w:color w:val="0A1628"/>
                <w:sz w:val="20"/>
              </w:rPr>
              <w:t>High conversion, distress-based intent</w:t>
            </w:r>
          </w:p>
        </w:tc>
      </w:tr>
      <w:tr>
        <w:tc>
          <w:tcPr>
            <w:tcW w:type="dxa" w:w="2016"/>
            <w:shd w:val="clear" w:color="auto" w:fill="FFFFFF"/>
          </w:tcPr>
          <w:p>
            <w:pPr>
              <w:spacing w:after="40"/>
            </w:pPr>
            <w:r>
              <w:rPr>
                <w:rFonts w:ascii="Calibri" w:hAnsi="Calibri"/>
                <w:color w:val="0A1628"/>
                <w:sz w:val="20"/>
              </w:rPr>
              <w:t>General Finance Outsourcing</w:t>
            </w:r>
          </w:p>
        </w:tc>
        <w:tc>
          <w:tcPr>
            <w:tcW w:type="dxa" w:w="3312"/>
            <w:shd w:val="clear" w:color="auto" w:fill="FFFFFF"/>
          </w:tcPr>
          <w:p>
            <w:pPr>
              <w:spacing w:after="40"/>
            </w:pPr>
            <w:r>
              <w:rPr>
                <w:rFonts w:ascii="Calibri" w:hAnsi="Calibri"/>
                <w:color w:val="0A1628"/>
                <w:sz w:val="20"/>
              </w:rPr>
              <w:t>finance and accounting outsourcing, outsourced finance team, remote accounting firm</w:t>
            </w:r>
          </w:p>
        </w:tc>
        <w:tc>
          <w:tcPr>
            <w:tcW w:type="dxa" w:w="1440"/>
            <w:shd w:val="clear" w:color="auto" w:fill="FFFFFF"/>
          </w:tcPr>
          <w:p>
            <w:pPr>
              <w:spacing w:after="40"/>
            </w:pPr>
            <w:r>
              <w:rPr>
                <w:rFonts w:ascii="Calibri" w:hAnsi="Calibri"/>
                <w:color w:val="0A1628"/>
                <w:sz w:val="20"/>
              </w:rPr>
              <w:t>P3 — Broad</w:t>
            </w:r>
          </w:p>
        </w:tc>
        <w:tc>
          <w:tcPr>
            <w:tcW w:type="dxa" w:w="2592"/>
            <w:shd w:val="clear" w:color="auto" w:fill="FFFFFF"/>
          </w:tcPr>
          <w:p>
            <w:pPr>
              <w:spacing w:after="40"/>
            </w:pPr>
            <w:r>
              <w:rPr>
                <w:rFonts w:ascii="Calibri" w:hAnsi="Calibri"/>
                <w:color w:val="0A1628"/>
                <w:sz w:val="20"/>
              </w:rPr>
              <w:t>Brand awareness and top-of-funnel</w:t>
            </w:r>
          </w:p>
        </w:tc>
      </w:tr>
    </w:tbl>
    <w:p/>
    <w:p>
      <w:pPr>
        <w:spacing w:before="240" w:after="80"/>
      </w:pPr>
      <w:r>
        <w:rPr>
          <w:rFonts w:ascii="Calibri" w:hAnsi="Calibri"/>
          <w:b/>
          <w:color w:val="1B4FD8"/>
          <w:sz w:val="28"/>
        </w:rPr>
        <w:t>4.3  Content Marketing Roadmap</w:t>
      </w:r>
    </w:p>
    <w:p>
      <w:pPr>
        <w:spacing w:before="0" w:after="100"/>
      </w:pPr>
      <w:r>
        <w:rPr>
          <w:rFonts w:ascii="Calibri" w:hAnsi="Calibri"/>
          <w:sz w:val="22"/>
        </w:rPr>
        <w:t>A consistent blog publishing cadence is the single highest-leverage SEO investment for a service business. Each article should target a keyword cluster, be 1,200-2,000 words, include an FAQ section (for rich results), and have a clear CTA to book a free consultation.</w:t>
      </w:r>
    </w:p>
    <w:p>
      <w:pPr>
        <w:spacing w:before="160" w:after="40"/>
      </w:pPr>
      <w:r>
        <w:rPr>
          <w:rFonts w:ascii="Calibri" w:hAnsi="Calibri"/>
          <w:b/>
          <w:color w:val="0A1628"/>
          <w:sz w:val="24"/>
        </w:rPr>
        <w:t>Month 1 — Foundation Articles (Quick Wins)</w:t>
      </w:r>
    </w:p>
    <w:p>
      <w:pPr>
        <w:pStyle w:val="ListNumber"/>
        <w:spacing w:after="80"/>
        <w:ind w:left="432"/>
      </w:pPr>
      <w:r>
        <w:rPr>
          <w:rFonts w:ascii="Calibri" w:hAnsi="Calibri"/>
          <w:b/>
          <w:color w:val="0A1628"/>
          <w:sz w:val="22"/>
        </w:rPr>
        <w:t xml:space="preserve">Article 1:  </w:t>
      </w:r>
      <w:r>
        <w:rPr>
          <w:rFonts w:ascii="Calibri" w:hAnsi="Calibri"/>
          <w:sz w:val="22"/>
        </w:rPr>
        <w:t>'Bench Accounting Shut Down: The 5 Best Alternatives for Small Businesses in 2025'</w:t>
      </w:r>
    </w:p>
    <w:p>
      <w:pPr>
        <w:pStyle w:val="ListNumber"/>
        <w:spacing w:after="80"/>
        <w:ind w:left="432"/>
      </w:pPr>
      <w:r>
        <w:rPr>
          <w:rFonts w:ascii="Calibri" w:hAnsi="Calibri"/>
          <w:b/>
          <w:color w:val="0A1628"/>
          <w:sz w:val="22"/>
        </w:rPr>
        <w:t xml:space="preserve">Article 2:  </w:t>
      </w:r>
      <w:r>
        <w:rPr>
          <w:rFonts w:ascii="Calibri" w:hAnsi="Calibri"/>
          <w:sz w:val="22"/>
        </w:rPr>
        <w:t>'What Is Group Consolidation — And Why Your Business Needs It Handled Correctly'</w:t>
      </w:r>
    </w:p>
    <w:p>
      <w:pPr>
        <w:pStyle w:val="ListNumber"/>
        <w:spacing w:after="80"/>
        <w:ind w:left="432"/>
      </w:pPr>
      <w:r>
        <w:rPr>
          <w:rFonts w:ascii="Calibri" w:hAnsi="Calibri"/>
          <w:b/>
          <w:color w:val="0A1628"/>
          <w:sz w:val="22"/>
        </w:rPr>
        <w:t xml:space="preserve">Article 3:  </w:t>
      </w:r>
      <w:r>
        <w:rPr>
          <w:rFonts w:ascii="Calibri" w:hAnsi="Calibri"/>
          <w:sz w:val="22"/>
        </w:rPr>
        <w:t>'IFRS vs US GAAP: Key Differences and Why It Matters for Your Business'</w:t>
      </w:r>
    </w:p>
    <w:p>
      <w:pPr>
        <w:spacing w:before="160" w:after="40"/>
      </w:pPr>
      <w:r>
        <w:rPr>
          <w:rFonts w:ascii="Calibri" w:hAnsi="Calibri"/>
          <w:b/>
          <w:color w:val="0A1628"/>
          <w:sz w:val="24"/>
        </w:rPr>
        <w:t>Month 2 — Authority Building</w:t>
      </w:r>
    </w:p>
    <w:p>
      <w:pPr>
        <w:pStyle w:val="ListNumber"/>
        <w:spacing w:after="80"/>
        <w:ind w:left="432"/>
      </w:pPr>
      <w:r>
        <w:rPr>
          <w:rFonts w:ascii="Calibri" w:hAnsi="Calibri"/>
          <w:b/>
          <w:color w:val="0A1628"/>
          <w:sz w:val="22"/>
        </w:rPr>
        <w:t xml:space="preserve">Article 4:  </w:t>
      </w:r>
      <w:r>
        <w:rPr>
          <w:rFonts w:ascii="Calibri" w:hAnsi="Calibri"/>
          <w:sz w:val="22"/>
        </w:rPr>
        <w:t>'How to Hire a Virtual Bookkeeper: 8 Things to Look For'</w:t>
      </w:r>
    </w:p>
    <w:p>
      <w:pPr>
        <w:pStyle w:val="ListNumber"/>
        <w:spacing w:after="80"/>
        <w:ind w:left="432"/>
      </w:pPr>
      <w:r>
        <w:rPr>
          <w:rFonts w:ascii="Calibri" w:hAnsi="Calibri"/>
          <w:b/>
          <w:color w:val="0A1628"/>
          <w:sz w:val="22"/>
        </w:rPr>
        <w:t xml:space="preserve">Article 5:  </w:t>
      </w:r>
      <w:r>
        <w:rPr>
          <w:rFonts w:ascii="Calibri" w:hAnsi="Calibri"/>
          <w:sz w:val="22"/>
        </w:rPr>
        <w:t>'The Real Cost of Hiring In-House vs. Outsourcing Your Finance Team'</w:t>
      </w:r>
    </w:p>
    <w:p>
      <w:pPr>
        <w:pStyle w:val="ListNumber"/>
        <w:spacing w:after="80"/>
        <w:ind w:left="432"/>
      </w:pPr>
      <w:r>
        <w:rPr>
          <w:rFonts w:ascii="Calibri" w:hAnsi="Calibri"/>
          <w:b/>
          <w:color w:val="0A1628"/>
          <w:sz w:val="22"/>
        </w:rPr>
        <w:t xml:space="preserve">Article 6:  </w:t>
      </w:r>
      <w:r>
        <w:rPr>
          <w:rFonts w:ascii="Calibri" w:hAnsi="Calibri"/>
          <w:sz w:val="22"/>
        </w:rPr>
        <w:t>'Investor-Ready Financial Models: What VCs Actually Look For'</w:t>
      </w:r>
    </w:p>
    <w:p>
      <w:pPr>
        <w:spacing w:before="160" w:after="40"/>
      </w:pPr>
      <w:r>
        <w:rPr>
          <w:rFonts w:ascii="Calibri" w:hAnsi="Calibri"/>
          <w:b/>
          <w:color w:val="0A1628"/>
          <w:sz w:val="24"/>
        </w:rPr>
        <w:t>Month 3 — Long-Tail &amp; Conversion</w:t>
      </w:r>
    </w:p>
    <w:p>
      <w:pPr>
        <w:pStyle w:val="ListNumber"/>
        <w:spacing w:after="80"/>
        <w:ind w:left="432"/>
      </w:pPr>
      <w:r>
        <w:rPr>
          <w:rFonts w:ascii="Calibri" w:hAnsi="Calibri"/>
          <w:b/>
          <w:color w:val="0A1628"/>
          <w:sz w:val="22"/>
        </w:rPr>
        <w:t xml:space="preserve">Article 7:  </w:t>
      </w:r>
      <w:r>
        <w:rPr>
          <w:rFonts w:ascii="Calibri" w:hAnsi="Calibri"/>
          <w:sz w:val="22"/>
        </w:rPr>
        <w:t>'Catch-Up Bookkeeping: How to Clean Up Your Records Before Tax Season'</w:t>
      </w:r>
    </w:p>
    <w:p>
      <w:pPr>
        <w:pStyle w:val="ListNumber"/>
        <w:spacing w:after="80"/>
        <w:ind w:left="432"/>
      </w:pPr>
      <w:r>
        <w:rPr>
          <w:rFonts w:ascii="Calibri" w:hAnsi="Calibri"/>
          <w:b/>
          <w:color w:val="0A1628"/>
          <w:sz w:val="22"/>
        </w:rPr>
        <w:t xml:space="preserve">Article 8:  </w:t>
      </w:r>
      <w:r>
        <w:rPr>
          <w:rFonts w:ascii="Calibri" w:hAnsi="Calibri"/>
          <w:sz w:val="22"/>
        </w:rPr>
        <w:t>'LucaNet vs SAP BPC vs OneStream: Choosing a Consolidation Platform'</w:t>
      </w:r>
    </w:p>
    <w:p>
      <w:pPr>
        <w:pStyle w:val="ListNumber"/>
        <w:spacing w:after="80"/>
        <w:ind w:left="432"/>
      </w:pPr>
      <w:r>
        <w:rPr>
          <w:rFonts w:ascii="Calibri" w:hAnsi="Calibri"/>
          <w:b/>
          <w:color w:val="0A1628"/>
          <w:sz w:val="22"/>
        </w:rPr>
        <w:t xml:space="preserve">Article 9:  </w:t>
      </w:r>
      <w:r>
        <w:rPr>
          <w:rFonts w:ascii="Calibri" w:hAnsi="Calibri"/>
          <w:sz w:val="22"/>
        </w:rPr>
        <w:t>'How Startups Should Structure Their Finances Before a Funding Round'</w:t>
      </w:r>
    </w:p>
    <w:p>
      <w:r>
        <w:br w:type="page"/>
      </w:r>
    </w:p>
    <w:p>
      <w:pPr>
        <w:spacing w:before="360" w:after="120"/>
        <w:jc w:val="left"/>
        <w:pBdr>
          <w:bottom w:val="single" w:sz="6" w:space="2" w:color="1B4FD8"/>
        </w:pBdr>
      </w:pPr>
      <w:r>
        <w:rPr>
          <w:rFonts w:ascii="Calibri" w:hAnsi="Calibri"/>
          <w:b/>
          <w:color w:val="0A1628"/>
          <w:sz w:val="36"/>
        </w:rPr>
        <w:t>5. Content &amp; Copy Improvements</w:t>
      </w:r>
    </w:p>
    <w:p>
      <w:pPr>
        <w:spacing w:before="240" w:after="80"/>
      </w:pPr>
      <w:r>
        <w:rPr>
          <w:rFonts w:ascii="Calibri" w:hAnsi="Calibri"/>
          <w:b/>
          <w:color w:val="1B4FD8"/>
          <w:sz w:val="28"/>
        </w:rPr>
        <w:t>5.1  Hero Section — Strengthen the Value Proposition</w:t>
      </w:r>
    </w:p>
    <w:p>
      <w:pPr>
        <w:spacing w:before="0" w:after="100"/>
      </w:pPr>
      <w:r>
        <w:rPr>
          <w:rFonts w:ascii="Calibri" w:hAnsi="Calibri"/>
          <w:sz w:val="22"/>
        </w:rPr>
        <w:t>The current headline 'Accounting &amp; Finance, Done Right' is clean but generic. It could describe any accounting firm. It does not leverage the two most powerful differentiators: cost advantage and dual IFRS/US GAAP expertise.</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val="clear" w:color="auto" w:fill="1B4FD8"/>
          </w:tcPr>
          <w:p>
            <w:pPr>
              <w:jc w:val="center"/>
            </w:pPr>
            <w:r>
              <w:rPr>
                <w:rFonts w:ascii="Calibri" w:hAnsi="Calibri"/>
                <w:b/>
                <w:color w:val="FFFFFF"/>
                <w:sz w:val="21"/>
              </w:rPr>
              <w:t>Element</w:t>
            </w:r>
          </w:p>
        </w:tc>
        <w:tc>
          <w:tcPr>
            <w:tcW w:type="dxa" w:w="3456"/>
            <w:shd w:val="clear" w:color="auto" w:fill="1B4FD8"/>
          </w:tcPr>
          <w:p>
            <w:pPr>
              <w:jc w:val="center"/>
            </w:pPr>
            <w:r>
              <w:rPr>
                <w:rFonts w:ascii="Calibri" w:hAnsi="Calibri"/>
                <w:b/>
                <w:color w:val="FFFFFF"/>
                <w:sz w:val="21"/>
              </w:rPr>
              <w:t>Current Copy</w:t>
            </w:r>
          </w:p>
        </w:tc>
        <w:tc>
          <w:tcPr>
            <w:tcW w:type="dxa" w:w="4176"/>
            <w:shd w:val="clear" w:color="auto" w:fill="1B4FD8"/>
          </w:tcPr>
          <w:p>
            <w:pPr>
              <w:jc w:val="center"/>
            </w:pPr>
            <w:r>
              <w:rPr>
                <w:rFonts w:ascii="Calibri" w:hAnsi="Calibri"/>
                <w:b/>
                <w:color w:val="FFFFFF"/>
                <w:sz w:val="21"/>
              </w:rPr>
              <w:t>Recommended Copy</w:t>
            </w:r>
          </w:p>
        </w:tc>
      </w:tr>
      <w:tr>
        <w:tc>
          <w:tcPr>
            <w:tcW w:type="dxa" w:w="1728"/>
            <w:shd w:val="clear" w:color="auto" w:fill="F0F4FF"/>
          </w:tcPr>
          <w:p>
            <w:pPr>
              <w:spacing w:after="40"/>
            </w:pPr>
            <w:r>
              <w:rPr>
                <w:rFonts w:ascii="Calibri" w:hAnsi="Calibri"/>
                <w:color w:val="0A1628"/>
                <w:sz w:val="20"/>
              </w:rPr>
              <w:t>Headline</w:t>
            </w:r>
          </w:p>
        </w:tc>
        <w:tc>
          <w:tcPr>
            <w:tcW w:type="dxa" w:w="3456"/>
            <w:shd w:val="clear" w:color="auto" w:fill="F0F4FF"/>
          </w:tcPr>
          <w:p>
            <w:pPr>
              <w:spacing w:after="40"/>
            </w:pPr>
            <w:r>
              <w:rPr>
                <w:rFonts w:ascii="Calibri" w:hAnsi="Calibri"/>
                <w:color w:val="0A1628"/>
                <w:sz w:val="20"/>
              </w:rPr>
              <w:t>Accounting &amp; Finance, Done Right</w:t>
            </w:r>
          </w:p>
        </w:tc>
        <w:tc>
          <w:tcPr>
            <w:tcW w:type="dxa" w:w="4176"/>
            <w:shd w:val="clear" w:color="auto" w:fill="F0F4FF"/>
          </w:tcPr>
          <w:p>
            <w:pPr>
              <w:spacing w:after="40"/>
            </w:pPr>
            <w:r>
              <w:rPr>
                <w:rFonts w:ascii="Calibri" w:hAnsi="Calibri"/>
                <w:color w:val="0A1628"/>
                <w:sz w:val="20"/>
              </w:rPr>
              <w:t>Big 4-Trained Finance Teams. Global Standards. Offshore Pricing.</w:t>
            </w:r>
          </w:p>
        </w:tc>
      </w:tr>
      <w:tr>
        <w:tc>
          <w:tcPr>
            <w:tcW w:type="dxa" w:w="1728"/>
            <w:shd w:val="clear" w:color="auto" w:fill="FFFFFF"/>
          </w:tcPr>
          <w:p>
            <w:pPr>
              <w:spacing w:after="40"/>
            </w:pPr>
            <w:r>
              <w:rPr>
                <w:rFonts w:ascii="Calibri" w:hAnsi="Calibri"/>
                <w:color w:val="0A1628"/>
                <w:sz w:val="20"/>
              </w:rPr>
              <w:t>Sub-headline</w:t>
            </w:r>
          </w:p>
        </w:tc>
        <w:tc>
          <w:tcPr>
            <w:tcW w:type="dxa" w:w="3456"/>
            <w:shd w:val="clear" w:color="auto" w:fill="FFFFFF"/>
          </w:tcPr>
          <w:p>
            <w:pPr>
              <w:spacing w:after="40"/>
            </w:pPr>
            <w:r>
              <w:rPr>
                <w:rFonts w:ascii="Calibri" w:hAnsi="Calibri"/>
                <w:color w:val="0A1628"/>
                <w:sz w:val="20"/>
              </w:rPr>
              <w:t>Flexible finance and accounting solutions — delivered by experienced professionals and virtual assistants tailored to your business needs.</w:t>
            </w:r>
          </w:p>
        </w:tc>
        <w:tc>
          <w:tcPr>
            <w:tcW w:type="dxa" w:w="4176"/>
            <w:shd w:val="clear" w:color="auto" w:fill="FFFFFF"/>
          </w:tcPr>
          <w:p>
            <w:pPr>
              <w:spacing w:after="40"/>
            </w:pPr>
            <w:r>
              <w:rPr>
                <w:rFonts w:ascii="Calibri" w:hAnsi="Calibri"/>
                <w:color w:val="0A1628"/>
                <w:sz w:val="20"/>
              </w:rPr>
              <w:t>IFRS &amp; US GAAP certified accountants — available full-time, part-time, or per project — at a fraction of the cost of local hiring. Trusted by businesses across 30+ countries.</w:t>
            </w:r>
          </w:p>
        </w:tc>
      </w:tr>
      <w:tr>
        <w:tc>
          <w:tcPr>
            <w:tcW w:type="dxa" w:w="1728"/>
            <w:shd w:val="clear" w:color="auto" w:fill="F0F4FF"/>
          </w:tcPr>
          <w:p>
            <w:pPr>
              <w:spacing w:after="40"/>
            </w:pPr>
            <w:r>
              <w:rPr>
                <w:rFonts w:ascii="Calibri" w:hAnsi="Calibri"/>
                <w:color w:val="0A1628"/>
                <w:sz w:val="20"/>
              </w:rPr>
              <w:t>Primary CTA</w:t>
            </w:r>
          </w:p>
        </w:tc>
        <w:tc>
          <w:tcPr>
            <w:tcW w:type="dxa" w:w="3456"/>
            <w:shd w:val="clear" w:color="auto" w:fill="F0F4FF"/>
          </w:tcPr>
          <w:p>
            <w:pPr>
              <w:spacing w:after="40"/>
            </w:pPr>
            <w:r>
              <w:rPr>
                <w:rFonts w:ascii="Calibri" w:hAnsi="Calibri"/>
                <w:color w:val="0A1628"/>
                <w:sz w:val="20"/>
              </w:rPr>
              <w:t>Get a Free Consultation</w:t>
            </w:r>
          </w:p>
        </w:tc>
        <w:tc>
          <w:tcPr>
            <w:tcW w:type="dxa" w:w="4176"/>
            <w:shd w:val="clear" w:color="auto" w:fill="F0F4FF"/>
          </w:tcPr>
          <w:p>
            <w:pPr>
              <w:spacing w:after="40"/>
            </w:pPr>
            <w:r>
              <w:rPr>
                <w:rFonts w:ascii="Calibri" w:hAnsi="Calibri"/>
                <w:color w:val="0A1628"/>
                <w:sz w:val="20"/>
              </w:rPr>
              <w:t>Book My Free 30-Min Strategy Call</w:t>
            </w:r>
          </w:p>
        </w:tc>
      </w:tr>
      <w:tr>
        <w:tc>
          <w:tcPr>
            <w:tcW w:type="dxa" w:w="1728"/>
            <w:shd w:val="clear" w:color="auto" w:fill="FFFFFF"/>
          </w:tcPr>
          <w:p>
            <w:pPr>
              <w:spacing w:after="40"/>
            </w:pPr>
            <w:r>
              <w:rPr>
                <w:rFonts w:ascii="Calibri" w:hAnsi="Calibri"/>
                <w:color w:val="0A1628"/>
                <w:sz w:val="20"/>
              </w:rPr>
              <w:t>Eyebrow</w:t>
            </w:r>
          </w:p>
        </w:tc>
        <w:tc>
          <w:tcPr>
            <w:tcW w:type="dxa" w:w="3456"/>
            <w:shd w:val="clear" w:color="auto" w:fill="FFFFFF"/>
          </w:tcPr>
          <w:p>
            <w:pPr>
              <w:spacing w:after="40"/>
            </w:pPr>
            <w:r>
              <w:rPr>
                <w:rFonts w:ascii="Calibri" w:hAnsi="Calibri"/>
                <w:color w:val="0A1628"/>
                <w:sz w:val="20"/>
              </w:rPr>
              <w:t>PRECISION · INTEGRITY · GROWTH</w:t>
            </w:r>
          </w:p>
        </w:tc>
        <w:tc>
          <w:tcPr>
            <w:tcW w:type="dxa" w:w="4176"/>
            <w:shd w:val="clear" w:color="auto" w:fill="FFFFFF"/>
          </w:tcPr>
          <w:p>
            <w:pPr>
              <w:spacing w:after="40"/>
            </w:pPr>
            <w:r>
              <w:rPr>
                <w:rFonts w:ascii="Calibri" w:hAnsi="Calibri"/>
                <w:color w:val="0A1628"/>
                <w:sz w:val="20"/>
              </w:rPr>
              <w:t>BIG 4 EXPERTISE · IFRS &amp; US GAAP · 30+ COUNTRIES</w:t>
            </w:r>
          </w:p>
        </w:tc>
      </w:tr>
      <w:tr>
        <w:tc>
          <w:tcPr>
            <w:tcW w:type="dxa" w:w="1728"/>
            <w:shd w:val="clear" w:color="auto" w:fill="F0F4FF"/>
          </w:tcPr>
          <w:p>
            <w:pPr>
              <w:spacing w:after="40"/>
            </w:pPr>
            <w:r>
              <w:rPr>
                <w:rFonts w:ascii="Calibri" w:hAnsi="Calibri"/>
                <w:color w:val="0A1628"/>
                <w:sz w:val="20"/>
              </w:rPr>
              <w:t>Trust bar stat 1</w:t>
            </w:r>
          </w:p>
        </w:tc>
        <w:tc>
          <w:tcPr>
            <w:tcW w:type="dxa" w:w="3456"/>
            <w:shd w:val="clear" w:color="auto" w:fill="F0F4FF"/>
          </w:tcPr>
          <w:p>
            <w:pPr>
              <w:spacing w:after="40"/>
            </w:pPr>
            <w:r>
              <w:rPr>
                <w:rFonts w:ascii="Calibri" w:hAnsi="Calibri"/>
                <w:color w:val="0A1628"/>
                <w:sz w:val="20"/>
              </w:rPr>
              <w:t>Big 4 &amp; Big 10 Expertise</w:t>
            </w:r>
          </w:p>
        </w:tc>
        <w:tc>
          <w:tcPr>
            <w:tcW w:type="dxa" w:w="4176"/>
            <w:shd w:val="clear" w:color="auto" w:fill="F0F4FF"/>
          </w:tcPr>
          <w:p>
            <w:pPr>
              <w:spacing w:after="40"/>
            </w:pPr>
            <w:r>
              <w:rPr>
                <w:rFonts w:ascii="Calibri" w:hAnsi="Calibri"/>
                <w:color w:val="0A1628"/>
                <w:sz w:val="20"/>
              </w:rPr>
              <w:t>Big 4 &amp; Big 10 Trained (keep, strong)</w:t>
            </w:r>
          </w:p>
        </w:tc>
      </w:tr>
      <w:tr>
        <w:tc>
          <w:tcPr>
            <w:tcW w:type="dxa" w:w="1728"/>
            <w:shd w:val="clear" w:color="auto" w:fill="FFFFFF"/>
          </w:tcPr>
          <w:p>
            <w:pPr>
              <w:spacing w:after="40"/>
            </w:pPr>
            <w:r>
              <w:rPr>
                <w:rFonts w:ascii="Calibri" w:hAnsi="Calibri"/>
                <w:color w:val="0A1628"/>
                <w:sz w:val="20"/>
              </w:rPr>
              <w:t>Trust bar stat 2</w:t>
            </w:r>
          </w:p>
        </w:tc>
        <w:tc>
          <w:tcPr>
            <w:tcW w:type="dxa" w:w="3456"/>
            <w:shd w:val="clear" w:color="auto" w:fill="FFFFFF"/>
          </w:tcPr>
          <w:p>
            <w:pPr>
              <w:spacing w:after="40"/>
            </w:pPr>
            <w:r>
              <w:rPr>
                <w:rFonts w:ascii="Calibri" w:hAnsi="Calibri"/>
                <w:color w:val="0A1628"/>
                <w:sz w:val="20"/>
              </w:rPr>
              <w:t>IFRS &amp; US GAAP Certified</w:t>
            </w:r>
          </w:p>
        </w:tc>
        <w:tc>
          <w:tcPr>
            <w:tcW w:type="dxa" w:w="4176"/>
            <w:shd w:val="clear" w:color="auto" w:fill="FFFFFF"/>
          </w:tcPr>
          <w:p>
            <w:pPr>
              <w:spacing w:after="40"/>
            </w:pPr>
            <w:r>
              <w:rPr>
                <w:rFonts w:ascii="Calibri" w:hAnsi="Calibri"/>
                <w:color w:val="0A1628"/>
                <w:sz w:val="20"/>
              </w:rPr>
              <w:t>50-70% Below Local Hire Rates (add this — critical differentiator)</w:t>
            </w:r>
          </w:p>
        </w:tc>
      </w:tr>
    </w:tbl>
    <w:p/>
    <w:p>
      <w:pPr>
        <w:spacing w:before="240" w:after="80"/>
      </w:pPr>
      <w:r>
        <w:rPr>
          <w:rFonts w:ascii="Calibri" w:hAnsi="Calibri"/>
          <w:b/>
          <w:color w:val="1B4FD8"/>
          <w:sz w:val="28"/>
        </w:rPr>
        <w:t>5.2  Missing Sections — Must Add</w:t>
      </w:r>
    </w:p>
    <w:p>
      <w:pPr>
        <w:spacing w:before="160" w:after="40"/>
      </w:pPr>
      <w:r>
        <w:rPr>
          <w:rFonts w:ascii="Calibri" w:hAnsi="Calibri"/>
          <w:b/>
          <w:color w:val="0A1628"/>
          <w:sz w:val="24"/>
        </w:rPr>
        <w:t>Pricing Section (Highest Impact on Conversion)</w:t>
      </w:r>
    </w:p>
    <w:p>
      <w:pPr>
        <w:spacing w:before="0" w:after="100"/>
      </w:pPr>
      <w:r>
        <w:rPr>
          <w:rFonts w:ascii="Calibri" w:hAnsi="Calibri"/>
          <w:sz w:val="22"/>
        </w:rPr>
        <w:t>Pricing is the #1 question B2B buyers have before making contact. Sites that display pricing generate significantly more qualified leads than those that hide it — because only genuinely interested prospects make contact. A simple tiered pricing table (even with 'from' prices) removes the biggest friction point before enquiry.</w:t>
      </w:r>
    </w:p>
    <w:p>
      <w:pPr>
        <w:spacing w:before="0" w:after="100"/>
      </w:pPr>
      <w:r>
        <w:rPr>
          <w:rFonts w:ascii="Calibri" w:hAnsi="Calibri"/>
          <w:sz w:val="22"/>
        </w:rPr>
        <w:t>Suggested structure: Starter (Bookkeeping only, from $X/mo), Growth (Bookkeeping + Payroll + Reporting, from $X/mo), Enterprise (Full finance function, custom quote). A 'Custom' tier with 'Contact for pricing' is acceptable for Group Consolidation and Fundraising Support.</w:t>
      </w:r>
    </w:p>
    <w:p>
      <w:pPr>
        <w:spacing w:before="160" w:after="40"/>
      </w:pPr>
      <w:r>
        <w:rPr>
          <w:rFonts w:ascii="Calibri" w:hAnsi="Calibri"/>
          <w:b/>
          <w:color w:val="0A1628"/>
          <w:sz w:val="24"/>
        </w:rPr>
        <w:t>FAQ Section (Critical for SEO)</w:t>
      </w:r>
    </w:p>
    <w:p>
      <w:pPr>
        <w:spacing w:before="0" w:after="100"/>
      </w:pPr>
      <w:r>
        <w:rPr>
          <w:rFonts w:ascii="Calibri" w:hAnsi="Calibri"/>
          <w:sz w:val="22"/>
        </w:rPr>
        <w:t>An FAQ section does three things simultaneously: answers objections before they arise, improves conversion by reducing sales calls for simple questions, and generates FAQPage schema markup for rich results in Google. Recommended FAQs to include:</w:t>
      </w:r>
    </w:p>
    <w:p>
      <w:pPr>
        <w:pStyle w:val="ListBullet"/>
        <w:spacing w:after="60"/>
        <w:ind w:left="432"/>
      </w:pPr>
      <w:r>
        <w:rPr>
          <w:rFonts w:ascii="Calibri" w:hAnsi="Calibri"/>
          <w:sz w:val="22"/>
        </w:rPr>
        <w:t>How much does it cost to outsource bookkeeping?</w:t>
      </w:r>
    </w:p>
    <w:p>
      <w:pPr>
        <w:pStyle w:val="ListBullet"/>
        <w:spacing w:after="60"/>
        <w:ind w:left="432"/>
      </w:pPr>
      <w:r>
        <w:rPr>
          <w:rFonts w:ascii="Calibri" w:hAnsi="Calibri"/>
          <w:sz w:val="22"/>
        </w:rPr>
        <w:t>How is working with a remote accountant different from hiring locally?</w:t>
      </w:r>
    </w:p>
    <w:p>
      <w:pPr>
        <w:pStyle w:val="ListBullet"/>
        <w:spacing w:after="60"/>
        <w:ind w:left="432"/>
      </w:pPr>
      <w:r>
        <w:rPr>
          <w:rFonts w:ascii="Calibri" w:hAnsi="Calibri"/>
          <w:sz w:val="22"/>
        </w:rPr>
        <w:t>Are your accountants qualified — what certifications do they hold?</w:t>
      </w:r>
    </w:p>
    <w:p>
      <w:pPr>
        <w:pStyle w:val="ListBullet"/>
        <w:spacing w:after="60"/>
        <w:ind w:left="432"/>
      </w:pPr>
      <w:r>
        <w:rPr>
          <w:rFonts w:ascii="Calibri" w:hAnsi="Calibri"/>
          <w:sz w:val="22"/>
        </w:rPr>
        <w:t>What accounting software do you work with?</w:t>
      </w:r>
    </w:p>
    <w:p>
      <w:pPr>
        <w:pStyle w:val="ListBullet"/>
        <w:spacing w:after="60"/>
        <w:ind w:left="432"/>
      </w:pPr>
      <w:r>
        <w:rPr>
          <w:rFonts w:ascii="Calibri" w:hAnsi="Calibri"/>
          <w:sz w:val="22"/>
        </w:rPr>
        <w:t>How quickly can we get started?</w:t>
      </w:r>
    </w:p>
    <w:p>
      <w:pPr>
        <w:pStyle w:val="ListBullet"/>
        <w:spacing w:after="60"/>
        <w:ind w:left="432"/>
      </w:pPr>
      <w:r>
        <w:rPr>
          <w:rFonts w:ascii="Calibri" w:hAnsi="Calibri"/>
          <w:sz w:val="22"/>
        </w:rPr>
        <w:t>Is my financial data secure?</w:t>
      </w:r>
    </w:p>
    <w:p>
      <w:pPr>
        <w:pStyle w:val="ListBullet"/>
        <w:spacing w:after="60"/>
        <w:ind w:left="432"/>
      </w:pPr>
      <w:r>
        <w:rPr>
          <w:rFonts w:ascii="Calibri" w:hAnsi="Calibri"/>
          <w:sz w:val="22"/>
        </w:rPr>
        <w:t>Do you work with businesses outside Pakistan?</w:t>
      </w:r>
    </w:p>
    <w:p>
      <w:pPr>
        <w:pStyle w:val="ListBullet"/>
        <w:spacing w:after="60"/>
        <w:ind w:left="432"/>
      </w:pPr>
      <w:r>
        <w:rPr>
          <w:rFonts w:ascii="Calibri" w:hAnsi="Calibri"/>
          <w:sz w:val="22"/>
        </w:rPr>
        <w:t>What's the difference between bookkeeping and accounting?</w:t>
      </w:r>
    </w:p>
    <w:p>
      <w:pPr>
        <w:spacing w:before="160" w:after="40"/>
      </w:pPr>
      <w:r>
        <w:rPr>
          <w:rFonts w:ascii="Calibri" w:hAnsi="Calibri"/>
          <w:b/>
          <w:color w:val="0A1628"/>
          <w:sz w:val="24"/>
        </w:rPr>
        <w:t>How It Works / Process Section</w:t>
      </w:r>
    </w:p>
    <w:p>
      <w:pPr>
        <w:spacing w:before="0" w:after="100"/>
      </w:pPr>
      <w:r>
        <w:rPr>
          <w:rFonts w:ascii="Calibri" w:hAnsi="Calibri"/>
          <w:sz w:val="22"/>
        </w:rPr>
        <w:t>B2B service buyers need to understand the engagement process before committing. A simple 3-4 step process section (Discovery Call → Needs Assessment → Team Assignment → Onboarding) reduces perceived risk and shortens the sales cycle. This section should sit between CoreServices and VATalent.</w:t>
      </w:r>
    </w:p>
    <w:p>
      <w:pPr>
        <w:spacing w:before="160" w:after="40"/>
      </w:pPr>
      <w:r>
        <w:rPr>
          <w:rFonts w:ascii="Calibri" w:hAnsi="Calibri"/>
          <w:b/>
          <w:color w:val="0A1628"/>
          <w:sz w:val="24"/>
        </w:rPr>
        <w:t>Results / Proof Section</w:t>
      </w:r>
    </w:p>
    <w:p>
      <w:pPr>
        <w:spacing w:before="0" w:after="100"/>
      </w:pPr>
      <w:r>
        <w:rPr>
          <w:rFonts w:ascii="Calibri" w:hAnsi="Calibri"/>
          <w:sz w:val="22"/>
        </w:rPr>
        <w:t>The 'Who We Work With' section lists client types but provides no evidence of outcomes. Add 3-4 specific outcome statements: '72% reduction in finance operations cost for a 50-person manufacturing firm', '3-entity IFRS consolidation completed in 5 days', 'Seed round financial model built in 4 days — client raised $1.2M'. Real numbers beat generic descriptions every time.</w:t>
      </w:r>
    </w:p>
    <w:p>
      <w:pPr>
        <w:spacing w:before="240" w:after="80"/>
      </w:pPr>
      <w:r>
        <w:rPr>
          <w:rFonts w:ascii="Calibri" w:hAnsi="Calibri"/>
          <w:b/>
          <w:color w:val="1B4FD8"/>
          <w:sz w:val="28"/>
        </w:rPr>
        <w:t>5.3  Testimonials — Full Rewrite Required</w:t>
      </w:r>
    </w:p>
    <w:p>
      <w:pPr>
        <w:spacing w:before="0" w:after="100"/>
      </w:pPr>
      <w:r>
        <w:rPr>
          <w:rFonts w:ascii="Calibri" w:hAnsi="Calibri"/>
          <w:sz w:val="22"/>
        </w:rPr>
        <w:t>Once actual client testimonials are obtained, ensure each one:</w:t>
      </w:r>
    </w:p>
    <w:p>
      <w:pPr>
        <w:pStyle w:val="ListBullet"/>
        <w:spacing w:after="60"/>
        <w:ind w:left="432"/>
      </w:pPr>
      <w:r>
        <w:rPr>
          <w:rFonts w:ascii="Calibri" w:hAnsi="Calibri"/>
          <w:sz w:val="22"/>
        </w:rPr>
        <w:t>Names a specific service received (not a general compliment)</w:t>
      </w:r>
    </w:p>
    <w:p>
      <w:pPr>
        <w:pStyle w:val="ListBullet"/>
        <w:spacing w:after="60"/>
        <w:ind w:left="432"/>
      </w:pPr>
      <w:r>
        <w:rPr>
          <w:rFonts w:ascii="Calibri" w:hAnsi="Calibri"/>
          <w:sz w:val="22"/>
        </w:rPr>
        <w:t>Includes a quantifiable outcome (time saved, cost reduced, error rate, funds raised)</w:t>
      </w:r>
    </w:p>
    <w:p>
      <w:pPr>
        <w:pStyle w:val="ListBullet"/>
        <w:spacing w:after="60"/>
        <w:ind w:left="432"/>
      </w:pPr>
      <w:r>
        <w:rPr>
          <w:rFonts w:ascii="Calibri" w:hAnsi="Calibri"/>
          <w:sz w:val="22"/>
        </w:rPr>
        <w:t>Uses the client's real name, role, and company — or at minimum, initials and industry</w:t>
      </w:r>
    </w:p>
    <w:p>
      <w:pPr>
        <w:pStyle w:val="ListBullet"/>
        <w:spacing w:after="60"/>
        <w:ind w:left="432"/>
      </w:pPr>
      <w:r>
        <w:rPr>
          <w:rFonts w:ascii="Calibri" w:hAnsi="Calibri"/>
          <w:sz w:val="22"/>
        </w:rPr>
        <w:t>Is clearly finance/accounting focused — no mention of video, Amazon, SEO, or VA services</w:t>
      </w:r>
    </w:p>
    <w:p>
      <w:pPr>
        <w:spacing w:before="0" w:after="100"/>
      </w:pPr>
      <w:r>
        <w:rPr>
          <w:rFonts w:ascii="Calibri" w:hAnsi="Calibri"/>
          <w:sz w:val="22"/>
        </w:rPr>
        <w:t>If real testimonials are not yet available, use clearly illustrative case examples framed as 'Client Example' rather than attributed quotes. Fabricated named testimonials from the wrong industry are worse than no testimonials.</w:t>
      </w:r>
    </w:p>
    <w:p>
      <w:pPr>
        <w:spacing w:before="240" w:after="80"/>
      </w:pPr>
      <w:r>
        <w:rPr>
          <w:rFonts w:ascii="Calibri" w:hAnsi="Calibri"/>
          <w:b/>
          <w:color w:val="1B4FD8"/>
          <w:sz w:val="28"/>
        </w:rPr>
        <w:t>5.4  'Why Choose Us' — Add Cost Advantage</w:t>
      </w:r>
    </w:p>
    <w:p>
      <w:pPr>
        <w:spacing w:before="0" w:after="100"/>
      </w:pPr>
      <w:r>
        <w:rPr>
          <w:rFonts w:ascii="Calibri" w:hAnsi="Calibri"/>
          <w:sz w:val="22"/>
        </w:rPr>
        <w:t>The WhyChooseUs section is strong but missing the single most compelling differentiator: cost. Add a new feature card: '50-70% Below Local Hire Rates — The quality of a Big 4-trained finance professional, delivered at offshore rates. No recruitment fees, no employment overhead, no office costs.'</w:t>
      </w:r>
    </w:p>
    <w:p>
      <w:pPr>
        <w:spacing w:before="240" w:after="80"/>
      </w:pPr>
      <w:r>
        <w:rPr>
          <w:rFonts w:ascii="Calibri" w:hAnsi="Calibri"/>
          <w:b/>
          <w:color w:val="1B4FD8"/>
          <w:sz w:val="28"/>
        </w:rPr>
        <w:t>5.5  Navbar — Add 'Pricing' Link</w:t>
      </w:r>
    </w:p>
    <w:p>
      <w:pPr>
        <w:spacing w:before="0" w:after="100"/>
      </w:pPr>
      <w:r>
        <w:rPr>
          <w:rFonts w:ascii="Calibri" w:hAnsi="Calibri"/>
          <w:sz w:val="22"/>
        </w:rPr>
        <w:t>Once a pricing section exists, add it to the navbar. Visitors who are actively evaluating services look for pricing immediately. A missing Pricing link in the nav signals that pricing is hidden, which creates friction and reduces enquiries from cost-sensitive buyers.</w:t>
      </w:r>
    </w:p>
    <w:p>
      <w:r>
        <w:br w:type="page"/>
      </w:r>
    </w:p>
    <w:p>
      <w:pPr>
        <w:spacing w:before="360" w:after="120"/>
        <w:jc w:val="left"/>
        <w:pBdr>
          <w:bottom w:val="single" w:sz="6" w:space="2" w:color="1B4FD8"/>
        </w:pBdr>
      </w:pPr>
      <w:r>
        <w:rPr>
          <w:rFonts w:ascii="Calibri" w:hAnsi="Calibri"/>
          <w:b/>
          <w:color w:val="0A1628"/>
          <w:sz w:val="36"/>
        </w:rPr>
        <w:t>6. Lead Generation &amp; Conversion Strategy</w:t>
      </w:r>
    </w:p>
    <w:p>
      <w:pPr>
        <w:spacing w:before="240" w:after="80"/>
      </w:pPr>
      <w:r>
        <w:rPr>
          <w:rFonts w:ascii="Calibri" w:hAnsi="Calibri"/>
          <w:b/>
          <w:color w:val="1B4FD8"/>
          <w:sz w:val="28"/>
        </w:rPr>
        <w:t>6.1  Fix the Contact Form — Connect to a Real Endpoint</w:t>
      </w:r>
    </w:p>
    <w:p>
      <w:pPr>
        <w:spacing w:before="0" w:after="100"/>
      </w:pPr>
      <w:r>
        <w:rPr>
          <w:rFonts w:ascii="Calibri" w:hAnsi="Calibri"/>
          <w:sz w:val="22"/>
        </w:rPr>
        <w:t>As covered in Section 2.3, the form currently discards all submissions. This must be fixed before any other lead generation investment is made. Recommended: Formspree.io (free, no backend, 5-minute setup). Add a hidden field to capture which service was selected and the referral source for analytics.</w:t>
      </w:r>
    </w:p>
    <w:p>
      <w:pPr>
        <w:spacing w:before="240" w:after="80"/>
      </w:pPr>
      <w:r>
        <w:rPr>
          <w:rFonts w:ascii="Calibri" w:hAnsi="Calibri"/>
          <w:b/>
          <w:color w:val="1B4FD8"/>
          <w:sz w:val="28"/>
        </w:rPr>
        <w:t>6.2  Add a Calendar Booking Widget</w:t>
      </w:r>
    </w:p>
    <w:p>
      <w:pPr>
        <w:spacing w:before="0" w:after="100"/>
      </w:pPr>
      <w:r>
        <w:rPr>
          <w:rFonts w:ascii="Calibri" w:hAnsi="Calibri"/>
          <w:sz w:val="22"/>
        </w:rPr>
        <w:t>The contact form CTA says 'Book My Free Call' but clicking it only submits a form — there is no calendar. This is a significant trust gap: serious B2B buyers expect to see real availability, not a contact form with a call-to-action label.</w:t>
      </w:r>
    </w:p>
    <w:tbl>
      <w:tblPr>
        <w:tblW w:type="auto" w:w="0"/>
        <w:jc w:val="center"/>
        <w:tblLook w:firstColumn="1" w:firstRow="1" w:lastColumn="0" w:lastRow="0" w:noHBand="0" w:noVBand="1" w:val="04A0"/>
      </w:tblPr>
      <w:tblGrid>
        <w:gridCol w:w="9072"/>
      </w:tblGrid>
      <w:tr>
        <w:tc>
          <w:tcPr>
            <w:tcW w:type="dxa" w:w="9072"/>
            <w:shd w:val="clear" w:color="auto" w:fill="ECFDF5"/>
            <w:tcBorders>
              <w:top w:val="single" w:sz="12" w:space="0" w:color="059669"/>
              <w:left w:val="single" w:sz="12" w:space="0" w:color="059669"/>
              <w:bottom w:val="single" w:sz="12" w:space="0" w:color="059669"/>
              <w:right w:val="single" w:sz="12" w:space="0" w:color="059669"/>
            </w:tcBorders>
            <w:tcMar>
              <w:top w:w="140" w:type="dxa"/>
              <w:left w:w="140" w:type="dxa"/>
              <w:bottom w:w="140" w:type="dxa"/>
              <w:right w:w="140" w:type="dxa"/>
            </w:tcMar>
          </w:tcPr>
          <w:p>
            <w:pPr>
              <w:spacing w:after="80"/>
            </w:pPr>
            <w:r>
              <w:rPr>
                <w:rFonts w:ascii="Calibri" w:hAnsi="Calibri"/>
                <w:b/>
                <w:color w:val="059669"/>
                <w:sz w:val="24"/>
              </w:rPr>
              <w:t>Recommended Tools</w:t>
            </w:r>
          </w:p>
          <w:p>
            <w:pPr>
              <w:spacing w:after="40"/>
            </w:pPr>
            <w:r>
              <w:rPr>
                <w:rFonts w:ascii="Calibri" w:hAnsi="Calibri"/>
                <w:color w:val="0A1628"/>
                <w:sz w:val="21"/>
              </w:rPr>
              <w:t>Calendly (calendly.com) — free tier available, embeds directly into the page alongside or replacing the form.</w:t>
            </w:r>
          </w:p>
          <w:p>
            <w:pPr>
              <w:spacing w:after="40"/>
            </w:pPr>
            <w:r>
              <w:rPr>
                <w:rFonts w:ascii="Calibri" w:hAnsi="Calibri"/>
                <w:color w:val="0A1628"/>
                <w:sz w:val="21"/>
              </w:rPr>
              <w:t>Cal.com — open source alternative, self-hosted option, excellent for privacy-conscious clients.</w:t>
            </w:r>
          </w:p>
          <w:p>
            <w:pPr>
              <w:spacing w:after="40"/>
            </w:pPr>
            <w:r>
              <w:rPr>
                <w:rFonts w:ascii="Calibri" w:hAnsi="Calibri"/>
                <w:color w:val="0A1628"/>
                <w:sz w:val="21"/>
              </w:rPr>
              <w:t>Implementation: Embed the calendar widget directly in the right-column sidebar of the Contact section. Let the form remain for enquiries that do not want a call. Offering both options captures a wider audience.</w:t>
            </w:r>
          </w:p>
        </w:tc>
      </w:tr>
    </w:tbl>
    <w:p/>
    <w:p>
      <w:pPr>
        <w:spacing w:before="240" w:after="80"/>
      </w:pPr>
      <w:r>
        <w:rPr>
          <w:rFonts w:ascii="Calibri" w:hAnsi="Calibri"/>
          <w:b/>
          <w:color w:val="1B4FD8"/>
          <w:sz w:val="28"/>
        </w:rPr>
        <w:t>6.3  Lead Magnets — Give Before You Ask</w:t>
      </w:r>
    </w:p>
    <w:p>
      <w:pPr>
        <w:spacing w:before="0" w:after="100"/>
      </w:pPr>
      <w:r>
        <w:rPr>
          <w:rFonts w:ascii="Calibri" w:hAnsi="Calibri"/>
          <w:sz w:val="22"/>
        </w:rPr>
        <w:t>A lead magnet is a free resource that provides genuine value in exchange for an email address. For a finance outsourcing firm, lead magnets have exceptionally high conversion rates because the audience is results-oriented. Recommended options:</w:t>
      </w:r>
    </w:p>
    <w:p>
      <w:pPr>
        <w:pStyle w:val="ListBullet"/>
        <w:spacing w:after="60"/>
        <w:ind w:left="432"/>
      </w:pPr>
      <w:r>
        <w:rPr>
          <w:rFonts w:ascii="Calibri" w:hAnsi="Calibri"/>
          <w:b/>
          <w:color w:val="0A1628"/>
          <w:sz w:val="22"/>
        </w:rPr>
        <w:t xml:space="preserve">Lead Magnet 1: </w:t>
      </w:r>
      <w:r>
        <w:rPr>
          <w:rFonts w:ascii="Calibri" w:hAnsi="Calibri"/>
          <w:sz w:val="22"/>
        </w:rPr>
        <w:t>"Financial Health Checklist for SMEs" — a one-page PDF: 15 questions that reveal whether a business's finance function is properly structured.</w:t>
      </w:r>
    </w:p>
    <w:p>
      <w:pPr>
        <w:pStyle w:val="ListBullet"/>
        <w:spacing w:after="60"/>
        <w:ind w:left="432"/>
      </w:pPr>
      <w:r>
        <w:rPr>
          <w:rFonts w:ascii="Calibri" w:hAnsi="Calibri"/>
          <w:b/>
          <w:color w:val="0A1628"/>
          <w:sz w:val="22"/>
        </w:rPr>
        <w:t xml:space="preserve">Lead Magnet 2: </w:t>
      </w:r>
      <w:r>
        <w:rPr>
          <w:rFonts w:ascii="Calibri" w:hAnsi="Calibri"/>
          <w:sz w:val="22"/>
        </w:rPr>
        <w:t>"The In-House vs. Outsourced Finance Cost Calculator" — an interactive or downloadable spreadsheet that shows total cost of ownership for in-house hiring vs. outsourcing.</w:t>
      </w:r>
    </w:p>
    <w:p>
      <w:pPr>
        <w:pStyle w:val="ListBullet"/>
        <w:spacing w:after="60"/>
        <w:ind w:left="432"/>
      </w:pPr>
      <w:r>
        <w:rPr>
          <w:rFonts w:ascii="Calibri" w:hAnsi="Calibri"/>
          <w:b/>
          <w:color w:val="0A1628"/>
          <w:sz w:val="22"/>
        </w:rPr>
        <w:t xml:space="preserve">Lead Magnet 3: </w:t>
      </w:r>
      <w:r>
        <w:rPr>
          <w:rFonts w:ascii="Calibri" w:hAnsi="Calibri"/>
          <w:sz w:val="22"/>
        </w:rPr>
        <w:t>"IFRS vs. US GAAP: Quick Reference Guide" — a PDF comparison table for businesses unsure which standard applies to them.</w:t>
      </w:r>
    </w:p>
    <w:p>
      <w:pPr>
        <w:pStyle w:val="ListBullet"/>
        <w:spacing w:after="60"/>
        <w:ind w:left="432"/>
      </w:pPr>
      <w:r>
        <w:rPr>
          <w:rFonts w:ascii="Calibri" w:hAnsi="Calibri"/>
          <w:b/>
          <w:color w:val="0A1628"/>
          <w:sz w:val="22"/>
        </w:rPr>
        <w:t xml:space="preserve">Lead Magnet 4: </w:t>
      </w:r>
      <w:r>
        <w:rPr>
          <w:rFonts w:ascii="Calibri" w:hAnsi="Calibri"/>
          <w:sz w:val="22"/>
        </w:rPr>
        <w:t>"Investor-Ready Financial Model Template" — a lightweight Excel template for pre-seed startups. This positions FinAccSolutions as the expert and generates warm leads from founders preparing for fundraising.</w:t>
      </w:r>
    </w:p>
    <w:p>
      <w:pPr>
        <w:spacing w:before="240" w:after="80"/>
      </w:pPr>
      <w:r>
        <w:rPr>
          <w:rFonts w:ascii="Calibri" w:hAnsi="Calibri"/>
          <w:b/>
          <w:color w:val="1B4FD8"/>
          <w:sz w:val="28"/>
        </w:rPr>
        <w:t>6.4  CTA Placement — Add Micro-CTAs Throughout</w:t>
      </w:r>
    </w:p>
    <w:p>
      <w:pPr>
        <w:spacing w:before="0" w:after="100"/>
      </w:pPr>
      <w:r>
        <w:rPr>
          <w:rFonts w:ascii="Calibri" w:hAnsi="Calibri"/>
          <w:sz w:val="22"/>
        </w:rPr>
        <w:t>The current page has one primary CTA (hero 'Get a Free Consultation') and one CTA per service card that scrolls to the contact form. This is good but insufficient for a long single-page site. Add:</w:t>
      </w:r>
    </w:p>
    <w:p>
      <w:pPr>
        <w:pStyle w:val="ListBullet"/>
        <w:spacing w:after="60"/>
        <w:ind w:left="432"/>
      </w:pPr>
      <w:r>
        <w:rPr>
          <w:rFonts w:ascii="Calibri" w:hAnsi="Calibri"/>
          <w:sz w:val="22"/>
        </w:rPr>
        <w:t>A sticky 'Book a Free Call' button on mobile (fixed bottom bar, appears after 30% scroll)</w:t>
      </w:r>
    </w:p>
    <w:p>
      <w:pPr>
        <w:pStyle w:val="ListBullet"/>
        <w:spacing w:after="60"/>
        <w:ind w:left="432"/>
      </w:pPr>
      <w:r>
        <w:rPr>
          <w:rFonts w:ascii="Calibri" w:hAnsi="Calibri"/>
          <w:sz w:val="22"/>
        </w:rPr>
        <w:t>A mid-page CTA banner between WhyChooseUs and WhoWeWorkWith: 'Ready to scale your finance team? Book a free 30-minute strategy call.'</w:t>
      </w:r>
    </w:p>
    <w:p>
      <w:pPr>
        <w:pStyle w:val="ListBullet"/>
        <w:spacing w:after="60"/>
        <w:ind w:left="432"/>
      </w:pPr>
      <w:r>
        <w:rPr>
          <w:rFonts w:ascii="Calibri" w:hAnsi="Calibri"/>
          <w:sz w:val="22"/>
        </w:rPr>
        <w:t>A WhatsApp / direct chat option in the Contact sidebar — many international clients prefer WhatsApp for initial contact</w:t>
      </w:r>
    </w:p>
    <w:p>
      <w:pPr>
        <w:spacing w:before="240" w:after="80"/>
      </w:pPr>
      <w:r>
        <w:rPr>
          <w:rFonts w:ascii="Calibri" w:hAnsi="Calibri"/>
          <w:b/>
          <w:color w:val="1B4FD8"/>
          <w:sz w:val="28"/>
        </w:rPr>
        <w:t>6.5  Social Proof Strategy</w:t>
      </w:r>
    </w:p>
    <w:p>
      <w:pPr>
        <w:spacing w:before="0" w:after="100"/>
      </w:pPr>
      <w:r>
        <w:rPr>
          <w:rFonts w:ascii="Calibri" w:hAnsi="Calibri"/>
          <w:sz w:val="22"/>
        </w:rPr>
        <w:t>Social proof is the most underinvested area on the site. Beyond fixing the testimonials (Section 5.3), build a proof stack:</w:t>
      </w:r>
    </w:p>
    <w:p>
      <w:pPr>
        <w:pStyle w:val="ListBullet"/>
        <w:spacing w:after="60"/>
        <w:ind w:left="432"/>
      </w:pPr>
      <w:r>
        <w:rPr>
          <w:rFonts w:ascii="Calibri" w:hAnsi="Calibri"/>
          <w:sz w:val="22"/>
        </w:rPr>
        <w:t>Client logo strip — even 5-6 anonymised logos ('A leading logistics group', 'A Dubai-based holding company') adds credibility without breaching confidentiality</w:t>
      </w:r>
    </w:p>
    <w:p>
      <w:pPr>
        <w:pStyle w:val="ListBullet"/>
        <w:spacing w:after="60"/>
        <w:ind w:left="432"/>
      </w:pPr>
      <w:r>
        <w:rPr>
          <w:rFonts w:ascii="Calibri" w:hAnsi="Calibri"/>
          <w:sz w:val="22"/>
        </w:rPr>
        <w:t>LinkedIn recommendations — ask clients to leave LinkedIn recommendations; embed or screenshot these</w:t>
      </w:r>
    </w:p>
    <w:p>
      <w:pPr>
        <w:pStyle w:val="ListBullet"/>
        <w:spacing w:after="60"/>
        <w:ind w:left="432"/>
      </w:pPr>
      <w:r>
        <w:rPr>
          <w:rFonts w:ascii="Calibri" w:hAnsi="Calibri"/>
          <w:sz w:val="22"/>
        </w:rPr>
        <w:t>Trustpilot or G2 profile — create a profile and actively request reviews from every satisfied client</w:t>
      </w:r>
    </w:p>
    <w:p>
      <w:pPr>
        <w:pStyle w:val="ListBullet"/>
        <w:spacing w:after="60"/>
        <w:ind w:left="432"/>
      </w:pPr>
      <w:r>
        <w:rPr>
          <w:rFonts w:ascii="Calibri" w:hAnsi="Calibri"/>
          <w:sz w:val="22"/>
        </w:rPr>
        <w:t>Certification badges — display ACCA, ICAP, CPA, or equivalent qualifications visually near the 'Big 4 expertise' claims</w:t>
      </w:r>
    </w:p>
    <w:p>
      <w:pPr>
        <w:pStyle w:val="ListBullet"/>
        <w:spacing w:after="60"/>
        <w:ind w:left="432"/>
      </w:pPr>
      <w:r>
        <w:rPr>
          <w:rFonts w:ascii="Calibri" w:hAnsi="Calibri"/>
          <w:sz w:val="22"/>
        </w:rPr>
        <w:t>Country/client counter — '40+ active clients across 30+ countries' as a live or static counter with legitimate numbers</w:t>
      </w:r>
    </w:p>
    <w:p>
      <w:r>
        <w:br w:type="page"/>
      </w:r>
    </w:p>
    <w:p>
      <w:pPr>
        <w:spacing w:before="360" w:after="120"/>
        <w:jc w:val="left"/>
        <w:pBdr>
          <w:bottom w:val="single" w:sz="6" w:space="2" w:color="1B4FD8"/>
        </w:pBdr>
      </w:pPr>
      <w:r>
        <w:rPr>
          <w:rFonts w:ascii="Calibri" w:hAnsi="Calibri"/>
          <w:b/>
          <w:color w:val="0A1628"/>
          <w:sz w:val="36"/>
        </w:rPr>
        <w:t>7. Design &amp; UX Recommendations</w:t>
      </w:r>
    </w:p>
    <w:p>
      <w:pPr>
        <w:spacing w:before="0" w:after="100"/>
      </w:pPr>
      <w:r>
        <w:rPr>
          <w:rFonts w:ascii="Calibri" w:hAnsi="Calibri"/>
          <w:sz w:val="22"/>
        </w:rPr>
        <w:t>The overall design is strong — the dark navy aesthetic with brand blue and gold accents is professional and distinctive. These are refinements rather than overhauls.</w:t>
      </w:r>
    </w:p>
    <w:p>
      <w:pPr>
        <w:spacing w:before="240" w:after="80"/>
      </w:pPr>
      <w:r>
        <w:rPr>
          <w:rFonts w:ascii="Calibri" w:hAnsi="Calibri"/>
          <w:b/>
          <w:color w:val="1B4FD8"/>
          <w:sz w:val="28"/>
        </w:rPr>
        <w:t>7.1  Trust Signals — Visible Credentials</w:t>
      </w:r>
    </w:p>
    <w:p>
      <w:pPr>
        <w:spacing w:before="0" w:after="100"/>
      </w:pPr>
      <w:r>
        <w:rPr>
          <w:rFonts w:ascii="Calibri" w:hAnsi="Calibri"/>
          <w:sz w:val="22"/>
        </w:rPr>
        <w:t>B2B finance buyers are risk-averse. They need to see evidence before committing. Currently, the site makes claims ('Big 4 backgrounds', 'IFRS certified') without showing evidence. Add:</w:t>
      </w:r>
    </w:p>
    <w:p>
      <w:pPr>
        <w:pStyle w:val="ListBullet"/>
        <w:spacing w:after="60"/>
        <w:ind w:left="432"/>
      </w:pPr>
      <w:r>
        <w:rPr>
          <w:rFonts w:ascii="Calibri" w:hAnsi="Calibri"/>
          <w:sz w:val="22"/>
        </w:rPr>
        <w:t>Team section or 'About Us' blurb with 1-3 team member profiles, their qualifications, and former employers</w:t>
      </w:r>
    </w:p>
    <w:p>
      <w:pPr>
        <w:pStyle w:val="ListBullet"/>
        <w:spacing w:after="60"/>
        <w:ind w:left="432"/>
      </w:pPr>
      <w:r>
        <w:rPr>
          <w:rFonts w:ascii="Calibri" w:hAnsi="Calibri"/>
          <w:sz w:val="22"/>
        </w:rPr>
        <w:t>A certification/accreditation bar (similar to the tool logos in ToolsTechnology section) showing ACCA, ICAP, CPA logos, and Big 4 names where permissible</w:t>
      </w:r>
    </w:p>
    <w:p>
      <w:pPr>
        <w:pStyle w:val="ListBullet"/>
        <w:spacing w:after="60"/>
        <w:ind w:left="432"/>
      </w:pPr>
      <w:r>
        <w:rPr>
          <w:rFonts w:ascii="Calibri" w:hAnsi="Calibri"/>
          <w:sz w:val="22"/>
        </w:rPr>
        <w:t>Company registration number / business credentials in the footer</w:t>
      </w:r>
    </w:p>
    <w:p>
      <w:pPr>
        <w:pStyle w:val="ListBullet"/>
        <w:spacing w:after="60"/>
        <w:ind w:left="432"/>
      </w:pPr>
      <w:r>
        <w:rPr>
          <w:rFonts w:ascii="Calibri" w:hAnsi="Calibri"/>
          <w:sz w:val="22"/>
        </w:rPr>
        <w:t>Privacy policy and terms of service pages — many B2B buyers check these before engaging</w:t>
      </w:r>
    </w:p>
    <w:p>
      <w:pPr>
        <w:spacing w:before="240" w:after="80"/>
      </w:pPr>
      <w:r>
        <w:rPr>
          <w:rFonts w:ascii="Calibri" w:hAnsi="Calibri"/>
          <w:b/>
          <w:color w:val="1B4FD8"/>
          <w:sz w:val="28"/>
        </w:rPr>
        <w:t>7.2  Mobile Experience</w:t>
      </w:r>
    </w:p>
    <w:p>
      <w:pPr>
        <w:spacing w:before="0" w:after="100"/>
      </w:pPr>
      <w:r>
        <w:rPr>
          <w:rFonts w:ascii="Calibri" w:hAnsi="Calibri"/>
          <w:sz w:val="22"/>
        </w:rPr>
        <w:t>The hero section uses clamp() font sizes and a responsive grid — this is good. However:</w:t>
      </w:r>
    </w:p>
    <w:p>
      <w:pPr>
        <w:pStyle w:val="ListBullet"/>
        <w:spacing w:after="60"/>
        <w:ind w:left="432"/>
      </w:pPr>
      <w:r>
        <w:rPr>
          <w:rFonts w:ascii="Calibri" w:hAnsi="Calibri"/>
          <w:sz w:val="22"/>
        </w:rPr>
        <w:t>The glassmorphism dashboard card in the hero collapses on mobile to below the headline. Verify it renders cleanly at 375px viewport width.</w:t>
      </w:r>
    </w:p>
    <w:p>
      <w:pPr>
        <w:pStyle w:val="ListBullet"/>
        <w:spacing w:after="60"/>
        <w:ind w:left="432"/>
      </w:pPr>
      <w:r>
        <w:rPr>
          <w:rFonts w:ascii="Calibri" w:hAnsi="Calibri"/>
          <w:sz w:val="22"/>
        </w:rPr>
        <w:t>Service cards in the 3-column grid on mobile stack to single column — ensure card click targets (for pre-populating the contact form) work on touch devices.</w:t>
      </w:r>
    </w:p>
    <w:p>
      <w:pPr>
        <w:pStyle w:val="ListBullet"/>
        <w:spacing w:after="60"/>
        <w:ind w:left="432"/>
      </w:pPr>
      <w:r>
        <w:rPr>
          <w:rFonts w:ascii="Calibri" w:hAnsi="Calibri"/>
          <w:sz w:val="22"/>
        </w:rPr>
        <w:t>The Contact section's right-column sidebar (info + booking panel) is hidden on mobile via 'hidden lg:block'. Ensure mobile users still have access to the email address and 'Book a Free 30-Min Call' option — possibly as a collapsible accordion below the form.</w:t>
      </w:r>
    </w:p>
    <w:p>
      <w:pPr>
        <w:spacing w:before="240" w:after="80"/>
      </w:pPr>
      <w:r>
        <w:rPr>
          <w:rFonts w:ascii="Calibri" w:hAnsi="Calibri"/>
          <w:b/>
          <w:color w:val="1B4FD8"/>
          <w:sz w:val="28"/>
        </w:rPr>
        <w:t>7.3  The ToolsTechnology Section — Missed Opportunity</w:t>
      </w:r>
    </w:p>
    <w:p>
      <w:pPr>
        <w:spacing w:before="0" w:after="100"/>
      </w:pPr>
      <w:r>
        <w:rPr>
          <w:rFonts w:ascii="Calibri" w:hAnsi="Calibri"/>
          <w:sz w:val="22"/>
        </w:rPr>
        <w:t>The tools logos section (QuickBooks, Xero, Sage, etc.) is a strong trust signal. Consider two improvements:</w:t>
      </w:r>
    </w:p>
    <w:p>
      <w:pPr>
        <w:pStyle w:val="ListBullet"/>
        <w:spacing w:after="60"/>
        <w:ind w:left="432"/>
      </w:pPr>
      <w:r>
        <w:rPr>
          <w:rFonts w:ascii="Calibri" w:hAnsi="Calibri"/>
          <w:sz w:val="22"/>
        </w:rPr>
        <w:t>Add consolidation platform logos (LucaNet, Hyperion, SAP BPC, OneStream, Tagetik) — these are already mentioned in the WhyChooseUs copy but not shown visually. These logos are recognizable to the exact decision-makers who would commission group consolidation work.</w:t>
      </w:r>
    </w:p>
    <w:p>
      <w:pPr>
        <w:pStyle w:val="ListBullet"/>
        <w:spacing w:after="60"/>
        <w:ind w:left="432"/>
      </w:pPr>
      <w:r>
        <w:rPr>
          <w:rFonts w:ascii="Calibri" w:hAnsi="Calibri"/>
          <w:sz w:val="22"/>
        </w:rPr>
        <w:t>Add a short line: 'We work within your existing systems — no migration required.' This removes a major objection (fear of disruption) at the point where the prospect is evaluating tools fit.</w:t>
      </w:r>
    </w:p>
    <w:p>
      <w:pPr>
        <w:spacing w:before="240" w:after="80"/>
      </w:pPr>
      <w:r>
        <w:rPr>
          <w:rFonts w:ascii="Calibri" w:hAnsi="Calibri"/>
          <w:b/>
          <w:color w:val="1B4FD8"/>
          <w:sz w:val="28"/>
        </w:rPr>
        <w:t>7.4  Footer — Expand for SEO and Trust</w:t>
      </w:r>
    </w:p>
    <w:p>
      <w:pPr>
        <w:spacing w:before="0" w:after="100"/>
      </w:pPr>
      <w:r>
        <w:rPr>
          <w:rFonts w:ascii="Calibri" w:hAnsi="Calibri"/>
          <w:sz w:val="22"/>
        </w:rPr>
        <w:t>Read the Footer.tsx to check current content, but common improvements for a finance service firm's footer include:</w:t>
      </w:r>
    </w:p>
    <w:p>
      <w:pPr>
        <w:pStyle w:val="ListBullet"/>
        <w:spacing w:after="60"/>
        <w:ind w:left="432"/>
      </w:pPr>
      <w:r>
        <w:rPr>
          <w:rFonts w:ascii="Calibri" w:hAnsi="Calibri"/>
          <w:sz w:val="22"/>
        </w:rPr>
        <w:t>Quick links to each service (bookkeeping, payroll, group consolidation, etc.) — these are internal links that pass SEO value</w:t>
      </w:r>
    </w:p>
    <w:p>
      <w:pPr>
        <w:pStyle w:val="ListBullet"/>
        <w:spacing w:after="60"/>
        <w:ind w:left="432"/>
      </w:pPr>
      <w:r>
        <w:rPr>
          <w:rFonts w:ascii="Calibri" w:hAnsi="Calibri"/>
          <w:sz w:val="22"/>
        </w:rPr>
        <w:t>Link to blog/resources when it exists</w:t>
      </w:r>
    </w:p>
    <w:p>
      <w:pPr>
        <w:pStyle w:val="ListBullet"/>
        <w:spacing w:after="60"/>
        <w:ind w:left="432"/>
      </w:pPr>
      <w:r>
        <w:rPr>
          <w:rFonts w:ascii="Calibri" w:hAnsi="Calibri"/>
          <w:sz w:val="22"/>
        </w:rPr>
        <w:t>Social media links (especially LinkedIn for B2B)</w:t>
      </w:r>
    </w:p>
    <w:p>
      <w:pPr>
        <w:pStyle w:val="ListBullet"/>
        <w:spacing w:after="60"/>
        <w:ind w:left="432"/>
      </w:pPr>
      <w:r>
        <w:rPr>
          <w:rFonts w:ascii="Calibri" w:hAnsi="Calibri"/>
          <w:sz w:val="22"/>
        </w:rPr>
        <w:t>Trust certifications / partner logos</w:t>
      </w:r>
    </w:p>
    <w:p>
      <w:pPr>
        <w:pStyle w:val="ListBullet"/>
        <w:spacing w:after="60"/>
        <w:ind w:left="432"/>
      </w:pPr>
      <w:r>
        <w:rPr>
          <w:rFonts w:ascii="Calibri" w:hAnsi="Calibri"/>
          <w:sz w:val="22"/>
        </w:rPr>
        <w:t>Company registration details and registered address</w:t>
      </w:r>
    </w:p>
    <w:p>
      <w:r>
        <w:br w:type="page"/>
      </w:r>
    </w:p>
    <w:p>
      <w:pPr>
        <w:spacing w:before="360" w:after="120"/>
        <w:jc w:val="left"/>
        <w:pBdr>
          <w:bottom w:val="single" w:sz="6" w:space="2" w:color="1B4FD8"/>
        </w:pBdr>
      </w:pPr>
      <w:r>
        <w:rPr>
          <w:rFonts w:ascii="Calibri" w:hAnsi="Calibri"/>
          <w:b/>
          <w:color w:val="0A1628"/>
          <w:sz w:val="36"/>
        </w:rPr>
        <w:t>8. Prioritized Action Plan</w:t>
      </w:r>
    </w:p>
    <w:p>
      <w:pPr>
        <w:spacing w:before="0" w:after="100"/>
      </w:pPr>
      <w:r>
        <w:rPr>
          <w:rFonts w:ascii="Calibri" w:hAnsi="Calibri"/>
          <w:sz w:val="22"/>
        </w:rPr>
        <w:t>The following roadmap is organized by urgency and impact. Work through it in order — fixing critical errors before investing in growth initiatives.</w:t>
      </w:r>
    </w:p>
    <w:p>
      <w:pPr>
        <w:spacing w:before="240" w:after="80"/>
      </w:pPr>
      <w:r>
        <w:rPr>
          <w:rFonts w:ascii="Calibri" w:hAnsi="Calibri"/>
          <w:b/>
          <w:color w:val="1B4FD8"/>
          <w:sz w:val="28"/>
        </w:rPr>
        <w:t>Week 1 — Critical Fixes (Non-Negotiable)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val="clear" w:color="auto" w:fill="1B4FD8"/>
          </w:tcPr>
          <w:p>
            <w:pPr>
              <w:jc w:val="center"/>
            </w:pPr>
            <w:r>
              <w:rPr>
                <w:rFonts w:ascii="Calibri" w:hAnsi="Calibri"/>
                <w:b/>
                <w:color w:val="FFFFFF"/>
                <w:sz w:val="21"/>
              </w:rPr>
              <w:t>#</w:t>
            </w:r>
          </w:p>
        </w:tc>
        <w:tc>
          <w:tcPr>
            <w:tcW w:type="dxa" w:w="4032"/>
            <w:shd w:val="clear" w:color="auto" w:fill="1B4FD8"/>
          </w:tcPr>
          <w:p>
            <w:pPr>
              <w:jc w:val="center"/>
            </w:pPr>
            <w:r>
              <w:rPr>
                <w:rFonts w:ascii="Calibri" w:hAnsi="Calibri"/>
                <w:b/>
                <w:color w:val="FFFFFF"/>
                <w:sz w:val="21"/>
              </w:rPr>
              <w:t>Action</w:t>
            </w:r>
          </w:p>
        </w:tc>
        <w:tc>
          <w:tcPr>
            <w:tcW w:type="dxa" w:w="2736"/>
            <w:shd w:val="clear" w:color="auto" w:fill="1B4FD8"/>
          </w:tcPr>
          <w:p>
            <w:pPr>
              <w:jc w:val="center"/>
            </w:pPr>
            <w:r>
              <w:rPr>
                <w:rFonts w:ascii="Calibri" w:hAnsi="Calibri"/>
                <w:b/>
                <w:color w:val="FFFFFF"/>
                <w:sz w:val="21"/>
              </w:rPr>
              <w:t>File(s)</w:t>
            </w:r>
          </w:p>
        </w:tc>
        <w:tc>
          <w:tcPr>
            <w:tcW w:type="dxa" w:w="1440"/>
            <w:shd w:val="clear" w:color="auto" w:fill="1B4FD8"/>
          </w:tcPr>
          <w:p>
            <w:pPr>
              <w:jc w:val="center"/>
            </w:pPr>
            <w:r>
              <w:rPr>
                <w:rFonts w:ascii="Calibri" w:hAnsi="Calibri"/>
                <w:b/>
                <w:color w:val="FFFFFF"/>
                <w:sz w:val="21"/>
              </w:rPr>
              <w:t>Est. Time</w:t>
            </w:r>
          </w:p>
        </w:tc>
      </w:tr>
      <w:tr>
        <w:tc>
          <w:tcPr>
            <w:tcW w:type="dxa" w:w="432"/>
            <w:shd w:val="clear" w:color="auto" w:fill="F0F4FF"/>
          </w:tcPr>
          <w:p>
            <w:pPr>
              <w:spacing w:after="40"/>
            </w:pPr>
            <w:r>
              <w:rPr>
                <w:rFonts w:ascii="Calibri" w:hAnsi="Calibri"/>
                <w:color w:val="0A1628"/>
                <w:sz w:val="20"/>
              </w:rPr>
              <w:t>1</w:t>
            </w:r>
          </w:p>
        </w:tc>
        <w:tc>
          <w:tcPr>
            <w:tcW w:type="dxa" w:w="4032"/>
            <w:shd w:val="clear" w:color="auto" w:fill="F0F4FF"/>
          </w:tcPr>
          <w:p>
            <w:pPr>
              <w:spacing w:after="40"/>
            </w:pPr>
            <w:r>
              <w:rPr>
                <w:rFonts w:ascii="Calibri" w:hAnsi="Calibri"/>
                <w:color w:val="0A1628"/>
                <w:sz w:val="20"/>
              </w:rPr>
              <w:t>Replace all Testimonials content with finance-industry copy</w:t>
            </w:r>
          </w:p>
        </w:tc>
        <w:tc>
          <w:tcPr>
            <w:tcW w:type="dxa" w:w="2736"/>
            <w:shd w:val="clear" w:color="auto" w:fill="F0F4FF"/>
          </w:tcPr>
          <w:p>
            <w:pPr>
              <w:spacing w:after="40"/>
            </w:pPr>
            <w:r>
              <w:rPr>
                <w:rFonts w:ascii="Calibri" w:hAnsi="Calibri"/>
                <w:color w:val="0A1628"/>
                <w:sz w:val="20"/>
              </w:rPr>
              <w:t>Testimonials.tsx</w:t>
            </w:r>
          </w:p>
        </w:tc>
        <w:tc>
          <w:tcPr>
            <w:tcW w:type="dxa" w:w="1440"/>
            <w:shd w:val="clear" w:color="auto" w:fill="F0F4FF"/>
          </w:tcPr>
          <w:p>
            <w:pPr>
              <w:spacing w:after="40"/>
            </w:pPr>
            <w:r>
              <w:rPr>
                <w:rFonts w:ascii="Calibri" w:hAnsi="Calibri"/>
                <w:color w:val="0A1628"/>
                <w:sz w:val="20"/>
              </w:rPr>
              <w:t>2-3 hours</w:t>
            </w:r>
          </w:p>
        </w:tc>
      </w:tr>
      <w:tr>
        <w:tc>
          <w:tcPr>
            <w:tcW w:type="dxa" w:w="432"/>
            <w:shd w:val="clear" w:color="auto" w:fill="FFFFFF"/>
          </w:tcPr>
          <w:p>
            <w:pPr>
              <w:spacing w:after="40"/>
            </w:pPr>
            <w:r>
              <w:rPr>
                <w:rFonts w:ascii="Calibri" w:hAnsi="Calibri"/>
                <w:color w:val="0A1628"/>
                <w:sz w:val="20"/>
              </w:rPr>
              <w:t>2</w:t>
            </w:r>
          </w:p>
        </w:tc>
        <w:tc>
          <w:tcPr>
            <w:tcW w:type="dxa" w:w="4032"/>
            <w:shd w:val="clear" w:color="auto" w:fill="FFFFFF"/>
          </w:tcPr>
          <w:p>
            <w:pPr>
              <w:spacing w:after="40"/>
            </w:pPr>
            <w:r>
              <w:rPr>
                <w:rFonts w:ascii="Calibri" w:hAnsi="Calibri"/>
                <w:color w:val="0A1628"/>
                <w:sz w:val="20"/>
              </w:rPr>
              <w:t>Add Testimonials component to page.tsx</w:t>
            </w:r>
          </w:p>
        </w:tc>
        <w:tc>
          <w:tcPr>
            <w:tcW w:type="dxa" w:w="2736"/>
            <w:shd w:val="clear" w:color="auto" w:fill="FFFFFF"/>
          </w:tcPr>
          <w:p>
            <w:pPr>
              <w:spacing w:after="40"/>
            </w:pPr>
            <w:r>
              <w:rPr>
                <w:rFonts w:ascii="Calibri" w:hAnsi="Calibri"/>
                <w:color w:val="0A1628"/>
                <w:sz w:val="20"/>
              </w:rPr>
              <w:t>app/page.tsx</w:t>
            </w:r>
          </w:p>
        </w:tc>
        <w:tc>
          <w:tcPr>
            <w:tcW w:type="dxa" w:w="1440"/>
            <w:shd w:val="clear" w:color="auto" w:fill="FFFFFF"/>
          </w:tcPr>
          <w:p>
            <w:pPr>
              <w:spacing w:after="40"/>
            </w:pPr>
            <w:r>
              <w:rPr>
                <w:rFonts w:ascii="Calibri" w:hAnsi="Calibri"/>
                <w:color w:val="0A1628"/>
                <w:sz w:val="20"/>
              </w:rPr>
              <w:t>5 minutes</w:t>
            </w:r>
          </w:p>
        </w:tc>
      </w:tr>
      <w:tr>
        <w:tc>
          <w:tcPr>
            <w:tcW w:type="dxa" w:w="432"/>
            <w:shd w:val="clear" w:color="auto" w:fill="F0F4FF"/>
          </w:tcPr>
          <w:p>
            <w:pPr>
              <w:spacing w:after="40"/>
            </w:pPr>
            <w:r>
              <w:rPr>
                <w:rFonts w:ascii="Calibri" w:hAnsi="Calibri"/>
                <w:color w:val="0A1628"/>
                <w:sz w:val="20"/>
              </w:rPr>
              <w:t>3</w:t>
            </w:r>
          </w:p>
        </w:tc>
        <w:tc>
          <w:tcPr>
            <w:tcW w:type="dxa" w:w="4032"/>
            <w:shd w:val="clear" w:color="auto" w:fill="F0F4FF"/>
          </w:tcPr>
          <w:p>
            <w:pPr>
              <w:spacing w:after="40"/>
            </w:pPr>
            <w:r>
              <w:rPr>
                <w:rFonts w:ascii="Calibri" w:hAnsi="Calibri"/>
                <w:color w:val="0A1628"/>
                <w:sz w:val="20"/>
              </w:rPr>
              <w:t>Connect contact form to Formspree (real submission)</w:t>
            </w:r>
          </w:p>
        </w:tc>
        <w:tc>
          <w:tcPr>
            <w:tcW w:type="dxa" w:w="2736"/>
            <w:shd w:val="clear" w:color="auto" w:fill="F0F4FF"/>
          </w:tcPr>
          <w:p>
            <w:pPr>
              <w:spacing w:after="40"/>
            </w:pPr>
            <w:r>
              <w:rPr>
                <w:rFonts w:ascii="Calibri" w:hAnsi="Calibri"/>
                <w:color w:val="0A1628"/>
                <w:sz w:val="20"/>
              </w:rPr>
              <w:t>ContactForm.tsx</w:t>
            </w:r>
          </w:p>
        </w:tc>
        <w:tc>
          <w:tcPr>
            <w:tcW w:type="dxa" w:w="1440"/>
            <w:shd w:val="clear" w:color="auto" w:fill="F0F4FF"/>
          </w:tcPr>
          <w:p>
            <w:pPr>
              <w:spacing w:after="40"/>
            </w:pPr>
            <w:r>
              <w:rPr>
                <w:rFonts w:ascii="Calibri" w:hAnsi="Calibri"/>
                <w:color w:val="0A1628"/>
                <w:sz w:val="20"/>
              </w:rPr>
              <w:t>1-2 hours</w:t>
            </w:r>
          </w:p>
        </w:tc>
      </w:tr>
      <w:tr>
        <w:tc>
          <w:tcPr>
            <w:tcW w:type="dxa" w:w="432"/>
            <w:shd w:val="clear" w:color="auto" w:fill="FFFFFF"/>
          </w:tcPr>
          <w:p>
            <w:pPr>
              <w:spacing w:after="40"/>
            </w:pPr>
            <w:r>
              <w:rPr>
                <w:rFonts w:ascii="Calibri" w:hAnsi="Calibri"/>
                <w:color w:val="0A1628"/>
                <w:sz w:val="20"/>
              </w:rPr>
              <w:t>4</w:t>
            </w:r>
          </w:p>
        </w:tc>
        <w:tc>
          <w:tcPr>
            <w:tcW w:type="dxa" w:w="4032"/>
            <w:shd w:val="clear" w:color="auto" w:fill="FFFFFF"/>
          </w:tcPr>
          <w:p>
            <w:pPr>
              <w:spacing w:after="40"/>
            </w:pPr>
            <w:r>
              <w:rPr>
                <w:rFonts w:ascii="Calibri" w:hAnsi="Calibri"/>
                <w:color w:val="0A1628"/>
                <w:sz w:val="20"/>
              </w:rPr>
              <w:t>Change hero dashboard label from 'LIVE' to 'SAMPLE CLIENT'</w:t>
            </w:r>
          </w:p>
        </w:tc>
        <w:tc>
          <w:tcPr>
            <w:tcW w:type="dxa" w:w="2736"/>
            <w:shd w:val="clear" w:color="auto" w:fill="FFFFFF"/>
          </w:tcPr>
          <w:p>
            <w:pPr>
              <w:spacing w:after="40"/>
            </w:pPr>
            <w:r>
              <w:rPr>
                <w:rFonts w:ascii="Calibri" w:hAnsi="Calibri"/>
                <w:color w:val="0A1628"/>
                <w:sz w:val="20"/>
              </w:rPr>
              <w:t>Hero.tsx</w:t>
            </w:r>
          </w:p>
        </w:tc>
        <w:tc>
          <w:tcPr>
            <w:tcW w:type="dxa" w:w="1440"/>
            <w:shd w:val="clear" w:color="auto" w:fill="FFFFFF"/>
          </w:tcPr>
          <w:p>
            <w:pPr>
              <w:spacing w:after="40"/>
            </w:pPr>
            <w:r>
              <w:rPr>
                <w:rFonts w:ascii="Calibri" w:hAnsi="Calibri"/>
                <w:color w:val="0A1628"/>
                <w:sz w:val="20"/>
              </w:rPr>
              <w:t>10 minutes</w:t>
            </w:r>
          </w:p>
        </w:tc>
      </w:tr>
      <w:tr>
        <w:tc>
          <w:tcPr>
            <w:tcW w:type="dxa" w:w="432"/>
            <w:shd w:val="clear" w:color="auto" w:fill="F0F4FF"/>
          </w:tcPr>
          <w:p>
            <w:pPr>
              <w:spacing w:after="40"/>
            </w:pPr>
            <w:r>
              <w:rPr>
                <w:rFonts w:ascii="Calibri" w:hAnsi="Calibri"/>
                <w:color w:val="0A1628"/>
                <w:sz w:val="20"/>
              </w:rPr>
              <w:t>5</w:t>
            </w:r>
          </w:p>
        </w:tc>
        <w:tc>
          <w:tcPr>
            <w:tcW w:type="dxa" w:w="4032"/>
            <w:shd w:val="clear" w:color="auto" w:fill="F0F4FF"/>
          </w:tcPr>
          <w:p>
            <w:pPr>
              <w:spacing w:after="40"/>
            </w:pPr>
            <w:r>
              <w:rPr>
                <w:rFonts w:ascii="Calibri" w:hAnsi="Calibri"/>
                <w:color w:val="0A1628"/>
                <w:sz w:val="20"/>
              </w:rPr>
              <w:t>Update layout.tsx with keyword-rich title &amp; description</w:t>
            </w:r>
          </w:p>
        </w:tc>
        <w:tc>
          <w:tcPr>
            <w:tcW w:type="dxa" w:w="2736"/>
            <w:shd w:val="clear" w:color="auto" w:fill="F0F4FF"/>
          </w:tcPr>
          <w:p>
            <w:pPr>
              <w:spacing w:after="40"/>
            </w:pPr>
            <w:r>
              <w:rPr>
                <w:rFonts w:ascii="Calibri" w:hAnsi="Calibri"/>
                <w:color w:val="0A1628"/>
                <w:sz w:val="20"/>
              </w:rPr>
              <w:t>app/layout.tsx</w:t>
            </w:r>
          </w:p>
        </w:tc>
        <w:tc>
          <w:tcPr>
            <w:tcW w:type="dxa" w:w="1440"/>
            <w:shd w:val="clear" w:color="auto" w:fill="F0F4FF"/>
          </w:tcPr>
          <w:p>
            <w:pPr>
              <w:spacing w:after="40"/>
            </w:pPr>
            <w:r>
              <w:rPr>
                <w:rFonts w:ascii="Calibri" w:hAnsi="Calibri"/>
                <w:color w:val="0A1628"/>
                <w:sz w:val="20"/>
              </w:rPr>
              <w:t>30 minutes</w:t>
            </w:r>
          </w:p>
        </w:tc>
      </w:tr>
      <w:tr>
        <w:tc>
          <w:tcPr>
            <w:tcW w:type="dxa" w:w="432"/>
            <w:shd w:val="clear" w:color="auto" w:fill="FFFFFF"/>
          </w:tcPr>
          <w:p>
            <w:pPr>
              <w:spacing w:after="40"/>
            </w:pPr>
            <w:r>
              <w:rPr>
                <w:rFonts w:ascii="Calibri" w:hAnsi="Calibri"/>
                <w:color w:val="0A1628"/>
                <w:sz w:val="20"/>
              </w:rPr>
              <w:t>6</w:t>
            </w:r>
          </w:p>
        </w:tc>
        <w:tc>
          <w:tcPr>
            <w:tcW w:type="dxa" w:w="4032"/>
            <w:shd w:val="clear" w:color="auto" w:fill="FFFFFF"/>
          </w:tcPr>
          <w:p>
            <w:pPr>
              <w:spacing w:after="40"/>
            </w:pPr>
            <w:r>
              <w:rPr>
                <w:rFonts w:ascii="Calibri" w:hAnsi="Calibri"/>
                <w:color w:val="0A1628"/>
                <w:sz w:val="20"/>
              </w:rPr>
              <w:t>Add Open Graph image (1200x630px branded)</w:t>
            </w:r>
          </w:p>
        </w:tc>
        <w:tc>
          <w:tcPr>
            <w:tcW w:type="dxa" w:w="2736"/>
            <w:shd w:val="clear" w:color="auto" w:fill="FFFFFF"/>
          </w:tcPr>
          <w:p>
            <w:pPr>
              <w:spacing w:after="40"/>
            </w:pPr>
            <w:r>
              <w:rPr>
                <w:rFonts w:ascii="Calibri" w:hAnsi="Calibri"/>
                <w:color w:val="0A1628"/>
                <w:sz w:val="20"/>
              </w:rPr>
              <w:t>app/layout.tsx + /public</w:t>
            </w:r>
          </w:p>
        </w:tc>
        <w:tc>
          <w:tcPr>
            <w:tcW w:type="dxa" w:w="1440"/>
            <w:shd w:val="clear" w:color="auto" w:fill="FFFFFF"/>
          </w:tcPr>
          <w:p>
            <w:pPr>
              <w:spacing w:after="40"/>
            </w:pPr>
            <w:r>
              <w:rPr>
                <w:rFonts w:ascii="Calibri" w:hAnsi="Calibri"/>
                <w:color w:val="0A1628"/>
                <w:sz w:val="20"/>
              </w:rPr>
              <w:t>2-3 hours</w:t>
            </w:r>
          </w:p>
        </w:tc>
      </w:tr>
    </w:tbl>
    <w:p/>
    <w:p>
      <w:pPr>
        <w:spacing w:before="240" w:after="80"/>
      </w:pPr>
      <w:r>
        <w:rPr>
          <w:rFonts w:ascii="Calibri" w:hAnsi="Calibri"/>
          <w:b/>
          <w:color w:val="1B4FD8"/>
          <w:sz w:val="28"/>
        </w:rPr>
        <w:t>Month 1 — SEO &amp; Content Foundation</w:t>
      </w:r>
    </w:p>
    <w:tbl>
      <w:tblPr>
        <w:tblStyle w:val="TableGrid"/>
        <w:tblW w:type="auto" w:w="0"/>
        <w:jc w:val="center"/>
        <w:tblLook w:firstColumn="1" w:firstRow="1" w:lastColumn="0" w:lastRow="0" w:noHBand="0" w:noVBand="1" w:val="04A0"/>
      </w:tblPr>
      <w:tblGrid>
        <w:gridCol w:w="3024"/>
        <w:gridCol w:w="3024"/>
        <w:gridCol w:w="3024"/>
      </w:tblGrid>
      <w:tr>
        <w:tc>
          <w:tcPr>
            <w:tcW w:type="dxa" w:w="432"/>
            <w:shd w:val="clear" w:color="auto" w:fill="1B4FD8"/>
          </w:tcPr>
          <w:p>
            <w:pPr>
              <w:jc w:val="center"/>
            </w:pPr>
            <w:r>
              <w:rPr>
                <w:rFonts w:ascii="Calibri" w:hAnsi="Calibri"/>
                <w:b/>
                <w:color w:val="FFFFFF"/>
                <w:sz w:val="21"/>
              </w:rPr>
              <w:t>#</w:t>
            </w:r>
          </w:p>
        </w:tc>
        <w:tc>
          <w:tcPr>
            <w:tcW w:type="dxa" w:w="6768"/>
            <w:shd w:val="clear" w:color="auto" w:fill="1B4FD8"/>
          </w:tcPr>
          <w:p>
            <w:pPr>
              <w:jc w:val="center"/>
            </w:pPr>
            <w:r>
              <w:rPr>
                <w:rFonts w:ascii="Calibri" w:hAnsi="Calibri"/>
                <w:b/>
                <w:color w:val="FFFFFF"/>
                <w:sz w:val="21"/>
              </w:rPr>
              <w:t>Action</w:t>
            </w:r>
          </w:p>
        </w:tc>
        <w:tc>
          <w:tcPr>
            <w:tcW w:type="dxa" w:w="1440"/>
            <w:shd w:val="clear" w:color="auto" w:fill="1B4FD8"/>
          </w:tcPr>
          <w:p>
            <w:pPr>
              <w:jc w:val="center"/>
            </w:pPr>
            <w:r>
              <w:rPr>
                <w:rFonts w:ascii="Calibri" w:hAnsi="Calibri"/>
                <w:b/>
                <w:color w:val="FFFFFF"/>
                <w:sz w:val="21"/>
              </w:rPr>
              <w:t>Priority</w:t>
            </w:r>
          </w:p>
        </w:tc>
      </w:tr>
      <w:tr>
        <w:tc>
          <w:tcPr>
            <w:tcW w:type="dxa" w:w="432"/>
            <w:shd w:val="clear" w:color="auto" w:fill="F0F4FF"/>
          </w:tcPr>
          <w:p>
            <w:pPr>
              <w:spacing w:after="40"/>
            </w:pPr>
            <w:r>
              <w:rPr>
                <w:rFonts w:ascii="Calibri" w:hAnsi="Calibri"/>
                <w:color w:val="0A1628"/>
                <w:sz w:val="20"/>
              </w:rPr>
              <w:t>7</w:t>
            </w:r>
          </w:p>
        </w:tc>
        <w:tc>
          <w:tcPr>
            <w:tcW w:type="dxa" w:w="6768"/>
            <w:shd w:val="clear" w:color="auto" w:fill="F0F4FF"/>
          </w:tcPr>
          <w:p>
            <w:pPr>
              <w:spacing w:after="40"/>
            </w:pPr>
            <w:r>
              <w:rPr>
                <w:rFonts w:ascii="Calibri" w:hAnsi="Calibri"/>
                <w:color w:val="0A1628"/>
                <w:sz w:val="20"/>
              </w:rPr>
              <w:t>Add sitemap.ts and robots.ts (Next.js App Router)</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8</w:t>
            </w:r>
          </w:p>
        </w:tc>
        <w:tc>
          <w:tcPr>
            <w:tcW w:type="dxa" w:w="6768"/>
            <w:shd w:val="clear" w:color="auto" w:fill="FFFFFF"/>
          </w:tcPr>
          <w:p>
            <w:pPr>
              <w:spacing w:after="40"/>
            </w:pPr>
            <w:r>
              <w:rPr>
                <w:rFonts w:ascii="Calibri" w:hAnsi="Calibri"/>
                <w:color w:val="0A1628"/>
                <w:sz w:val="20"/>
              </w:rPr>
              <w:t>Add JSON-LD Organization + LocalBusiness schema to layout.tsx</w:t>
            </w:r>
          </w:p>
        </w:tc>
        <w:tc>
          <w:tcPr>
            <w:tcW w:type="dxa" w:w="1440"/>
            <w:shd w:val="clear" w:color="auto" w:fill="FFFFFF"/>
          </w:tcPr>
          <w:p>
            <w:pPr>
              <w:spacing w:after="40"/>
            </w:pPr>
            <w:r>
              <w:rPr>
                <w:rFonts w:ascii="Calibri" w:hAnsi="Calibri"/>
                <w:color w:val="0A1628"/>
                <w:sz w:val="20"/>
              </w:rPr>
              <w:t>High</w:t>
            </w:r>
          </w:p>
        </w:tc>
      </w:tr>
      <w:tr>
        <w:tc>
          <w:tcPr>
            <w:tcW w:type="dxa" w:w="432"/>
            <w:shd w:val="clear" w:color="auto" w:fill="F0F4FF"/>
          </w:tcPr>
          <w:p>
            <w:pPr>
              <w:spacing w:after="40"/>
            </w:pPr>
            <w:r>
              <w:rPr>
                <w:rFonts w:ascii="Calibri" w:hAnsi="Calibri"/>
                <w:color w:val="0A1628"/>
                <w:sz w:val="20"/>
              </w:rPr>
              <w:t>9</w:t>
            </w:r>
          </w:p>
        </w:tc>
        <w:tc>
          <w:tcPr>
            <w:tcW w:type="dxa" w:w="6768"/>
            <w:shd w:val="clear" w:color="auto" w:fill="F0F4FF"/>
          </w:tcPr>
          <w:p>
            <w:pPr>
              <w:spacing w:after="40"/>
            </w:pPr>
            <w:r>
              <w:rPr>
                <w:rFonts w:ascii="Calibri" w:hAnsi="Calibri"/>
                <w:color w:val="0A1628"/>
                <w:sz w:val="20"/>
              </w:rPr>
              <w:t>Add FAQ section to page.tsx with 8 Q&amp;As (see Section 5.2)</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10</w:t>
            </w:r>
          </w:p>
        </w:tc>
        <w:tc>
          <w:tcPr>
            <w:tcW w:type="dxa" w:w="6768"/>
            <w:shd w:val="clear" w:color="auto" w:fill="FFFFFF"/>
          </w:tcPr>
          <w:p>
            <w:pPr>
              <w:spacing w:after="40"/>
            </w:pPr>
            <w:r>
              <w:rPr>
                <w:rFonts w:ascii="Calibri" w:hAnsi="Calibri"/>
                <w:color w:val="0A1628"/>
                <w:sz w:val="20"/>
              </w:rPr>
              <w:t>Add 'How It Works' 3-step process section</w:t>
            </w:r>
          </w:p>
        </w:tc>
        <w:tc>
          <w:tcPr>
            <w:tcW w:type="dxa" w:w="1440"/>
            <w:shd w:val="clear" w:color="auto" w:fill="FFFFFF"/>
          </w:tcPr>
          <w:p>
            <w:pPr>
              <w:spacing w:after="40"/>
            </w:pPr>
            <w:r>
              <w:rPr>
                <w:rFonts w:ascii="Calibri" w:hAnsi="Calibri"/>
                <w:color w:val="0A1628"/>
                <w:sz w:val="20"/>
              </w:rPr>
              <w:t>Medium</w:t>
            </w:r>
          </w:p>
        </w:tc>
      </w:tr>
      <w:tr>
        <w:tc>
          <w:tcPr>
            <w:tcW w:type="dxa" w:w="432"/>
            <w:shd w:val="clear" w:color="auto" w:fill="F0F4FF"/>
          </w:tcPr>
          <w:p>
            <w:pPr>
              <w:spacing w:after="40"/>
            </w:pPr>
            <w:r>
              <w:rPr>
                <w:rFonts w:ascii="Calibri" w:hAnsi="Calibri"/>
                <w:color w:val="0A1628"/>
                <w:sz w:val="20"/>
              </w:rPr>
              <w:t>11</w:t>
            </w:r>
          </w:p>
        </w:tc>
        <w:tc>
          <w:tcPr>
            <w:tcW w:type="dxa" w:w="6768"/>
            <w:shd w:val="clear" w:color="auto" w:fill="F0F4FF"/>
          </w:tcPr>
          <w:p>
            <w:pPr>
              <w:spacing w:after="40"/>
            </w:pPr>
            <w:r>
              <w:rPr>
                <w:rFonts w:ascii="Calibri" w:hAnsi="Calibri"/>
                <w:color w:val="0A1628"/>
                <w:sz w:val="20"/>
              </w:rPr>
              <w:t>Update hero headline and sub-headline (see Section 5.1 table)</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12</w:t>
            </w:r>
          </w:p>
        </w:tc>
        <w:tc>
          <w:tcPr>
            <w:tcW w:type="dxa" w:w="6768"/>
            <w:shd w:val="clear" w:color="auto" w:fill="FFFFFF"/>
          </w:tcPr>
          <w:p>
            <w:pPr>
              <w:spacing w:after="40"/>
            </w:pPr>
            <w:r>
              <w:rPr>
                <w:rFonts w:ascii="Calibri" w:hAnsi="Calibri"/>
                <w:color w:val="0A1628"/>
                <w:sz w:val="20"/>
              </w:rPr>
              <w:t>Add 'Cost Advantage' feature card to WhyChooseUs section</w:t>
            </w:r>
          </w:p>
        </w:tc>
        <w:tc>
          <w:tcPr>
            <w:tcW w:type="dxa" w:w="1440"/>
            <w:shd w:val="clear" w:color="auto" w:fill="FFFFFF"/>
          </w:tcPr>
          <w:p>
            <w:pPr>
              <w:spacing w:after="40"/>
            </w:pPr>
            <w:r>
              <w:rPr>
                <w:rFonts w:ascii="Calibri" w:hAnsi="Calibri"/>
                <w:color w:val="0A1628"/>
                <w:sz w:val="20"/>
              </w:rPr>
              <w:t>Medium</w:t>
            </w:r>
          </w:p>
        </w:tc>
      </w:tr>
      <w:tr>
        <w:tc>
          <w:tcPr>
            <w:tcW w:type="dxa" w:w="432"/>
            <w:shd w:val="clear" w:color="auto" w:fill="F0F4FF"/>
          </w:tcPr>
          <w:p>
            <w:pPr>
              <w:spacing w:after="40"/>
            </w:pPr>
            <w:r>
              <w:rPr>
                <w:rFonts w:ascii="Calibri" w:hAnsi="Calibri"/>
                <w:color w:val="0A1628"/>
                <w:sz w:val="20"/>
              </w:rPr>
              <w:t>13</w:t>
            </w:r>
          </w:p>
        </w:tc>
        <w:tc>
          <w:tcPr>
            <w:tcW w:type="dxa" w:w="6768"/>
            <w:shd w:val="clear" w:color="auto" w:fill="F0F4FF"/>
          </w:tcPr>
          <w:p>
            <w:pPr>
              <w:spacing w:after="40"/>
            </w:pPr>
            <w:r>
              <w:rPr>
                <w:rFonts w:ascii="Calibri" w:hAnsi="Calibri"/>
                <w:color w:val="0A1628"/>
                <w:sz w:val="20"/>
              </w:rPr>
              <w:t>Publish first 3 blog articles (Bench Alternative, Group Consolidation, IFRS vs GAAP)</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14</w:t>
            </w:r>
          </w:p>
        </w:tc>
        <w:tc>
          <w:tcPr>
            <w:tcW w:type="dxa" w:w="6768"/>
            <w:shd w:val="clear" w:color="auto" w:fill="FFFFFF"/>
          </w:tcPr>
          <w:p>
            <w:pPr>
              <w:spacing w:after="40"/>
            </w:pPr>
            <w:r>
              <w:rPr>
                <w:rFonts w:ascii="Calibri" w:hAnsi="Calibri"/>
                <w:color w:val="0A1628"/>
                <w:sz w:val="20"/>
              </w:rPr>
              <w:t>Add FAQPage JSON-LD schema once FAQ section is live</w:t>
            </w:r>
          </w:p>
        </w:tc>
        <w:tc>
          <w:tcPr>
            <w:tcW w:type="dxa" w:w="1440"/>
            <w:shd w:val="clear" w:color="auto" w:fill="FFFFFF"/>
          </w:tcPr>
          <w:p>
            <w:pPr>
              <w:spacing w:after="40"/>
            </w:pPr>
            <w:r>
              <w:rPr>
                <w:rFonts w:ascii="Calibri" w:hAnsi="Calibri"/>
                <w:color w:val="0A1628"/>
                <w:sz w:val="20"/>
              </w:rPr>
              <w:t>High</w:t>
            </w:r>
          </w:p>
        </w:tc>
      </w:tr>
      <w:tr>
        <w:tc>
          <w:tcPr>
            <w:tcW w:type="dxa" w:w="432"/>
            <w:shd w:val="clear" w:color="auto" w:fill="F0F4FF"/>
          </w:tcPr>
          <w:p>
            <w:pPr>
              <w:spacing w:after="40"/>
            </w:pPr>
            <w:r>
              <w:rPr>
                <w:rFonts w:ascii="Calibri" w:hAnsi="Calibri"/>
                <w:color w:val="0A1628"/>
                <w:sz w:val="20"/>
              </w:rPr>
              <w:t>15</w:t>
            </w:r>
          </w:p>
        </w:tc>
        <w:tc>
          <w:tcPr>
            <w:tcW w:type="dxa" w:w="6768"/>
            <w:shd w:val="clear" w:color="auto" w:fill="F0F4FF"/>
          </w:tcPr>
          <w:p>
            <w:pPr>
              <w:spacing w:after="40"/>
            </w:pPr>
            <w:r>
              <w:rPr>
                <w:rFonts w:ascii="Calibri" w:hAnsi="Calibri"/>
                <w:color w:val="0A1628"/>
                <w:sz w:val="20"/>
              </w:rPr>
              <w:t>Set up Calendly and embed in Contact section sidebar</w:t>
            </w:r>
          </w:p>
        </w:tc>
        <w:tc>
          <w:tcPr>
            <w:tcW w:type="dxa" w:w="1440"/>
            <w:shd w:val="clear" w:color="auto" w:fill="F0F4FF"/>
          </w:tcPr>
          <w:p>
            <w:pPr>
              <w:spacing w:after="40"/>
            </w:pPr>
            <w:r>
              <w:rPr>
                <w:rFonts w:ascii="Calibri" w:hAnsi="Calibri"/>
                <w:color w:val="0A1628"/>
                <w:sz w:val="20"/>
              </w:rPr>
              <w:t>Medium</w:t>
            </w:r>
          </w:p>
        </w:tc>
      </w:tr>
      <w:tr>
        <w:tc>
          <w:tcPr>
            <w:tcW w:type="dxa" w:w="432"/>
            <w:shd w:val="clear" w:color="auto" w:fill="FFFFFF"/>
          </w:tcPr>
          <w:p>
            <w:pPr>
              <w:spacing w:after="40"/>
            </w:pPr>
            <w:r>
              <w:rPr>
                <w:rFonts w:ascii="Calibri" w:hAnsi="Calibri"/>
                <w:color w:val="0A1628"/>
                <w:sz w:val="20"/>
              </w:rPr>
              <w:t>16</w:t>
            </w:r>
          </w:p>
        </w:tc>
        <w:tc>
          <w:tcPr>
            <w:tcW w:type="dxa" w:w="6768"/>
            <w:shd w:val="clear" w:color="auto" w:fill="FFFFFF"/>
          </w:tcPr>
          <w:p>
            <w:pPr>
              <w:spacing w:after="40"/>
            </w:pPr>
            <w:r>
              <w:rPr>
                <w:rFonts w:ascii="Calibri" w:hAnsi="Calibri"/>
                <w:color w:val="0A1628"/>
                <w:sz w:val="20"/>
              </w:rPr>
              <w:t>Create Trustpilot or G2 profile and request first 5 reviews</w:t>
            </w:r>
          </w:p>
        </w:tc>
        <w:tc>
          <w:tcPr>
            <w:tcW w:type="dxa" w:w="1440"/>
            <w:shd w:val="clear" w:color="auto" w:fill="FFFFFF"/>
          </w:tcPr>
          <w:p>
            <w:pPr>
              <w:spacing w:after="40"/>
            </w:pPr>
            <w:r>
              <w:rPr>
                <w:rFonts w:ascii="Calibri" w:hAnsi="Calibri"/>
                <w:color w:val="0A1628"/>
                <w:sz w:val="20"/>
              </w:rPr>
              <w:t>Medium</w:t>
            </w:r>
          </w:p>
        </w:tc>
      </w:tr>
    </w:tbl>
    <w:p/>
    <w:p>
      <w:pPr>
        <w:spacing w:before="240" w:after="80"/>
      </w:pPr>
      <w:r>
        <w:rPr>
          <w:rFonts w:ascii="Calibri" w:hAnsi="Calibri"/>
          <w:b/>
          <w:color w:val="1B4FD8"/>
          <w:sz w:val="28"/>
        </w:rPr>
        <w:t>Month 2 — Conversion &amp; Differentiation</w:t>
      </w:r>
    </w:p>
    <w:tbl>
      <w:tblPr>
        <w:tblStyle w:val="TableGrid"/>
        <w:tblW w:type="auto" w:w="0"/>
        <w:jc w:val="center"/>
        <w:tblLook w:firstColumn="1" w:firstRow="1" w:lastColumn="0" w:lastRow="0" w:noHBand="0" w:noVBand="1" w:val="04A0"/>
      </w:tblPr>
      <w:tblGrid>
        <w:gridCol w:w="3024"/>
        <w:gridCol w:w="3024"/>
        <w:gridCol w:w="3024"/>
      </w:tblGrid>
      <w:tr>
        <w:tc>
          <w:tcPr>
            <w:tcW w:type="dxa" w:w="432"/>
            <w:shd w:val="clear" w:color="auto" w:fill="1B4FD8"/>
          </w:tcPr>
          <w:p>
            <w:pPr>
              <w:jc w:val="center"/>
            </w:pPr>
            <w:r>
              <w:rPr>
                <w:rFonts w:ascii="Calibri" w:hAnsi="Calibri"/>
                <w:b/>
                <w:color w:val="FFFFFF"/>
                <w:sz w:val="21"/>
              </w:rPr>
              <w:t>#</w:t>
            </w:r>
          </w:p>
        </w:tc>
        <w:tc>
          <w:tcPr>
            <w:tcW w:type="dxa" w:w="6768"/>
            <w:shd w:val="clear" w:color="auto" w:fill="1B4FD8"/>
          </w:tcPr>
          <w:p>
            <w:pPr>
              <w:jc w:val="center"/>
            </w:pPr>
            <w:r>
              <w:rPr>
                <w:rFonts w:ascii="Calibri" w:hAnsi="Calibri"/>
                <w:b/>
                <w:color w:val="FFFFFF"/>
                <w:sz w:val="21"/>
              </w:rPr>
              <w:t>Action</w:t>
            </w:r>
          </w:p>
        </w:tc>
        <w:tc>
          <w:tcPr>
            <w:tcW w:type="dxa" w:w="1440"/>
            <w:shd w:val="clear" w:color="auto" w:fill="1B4FD8"/>
          </w:tcPr>
          <w:p>
            <w:pPr>
              <w:jc w:val="center"/>
            </w:pPr>
            <w:r>
              <w:rPr>
                <w:rFonts w:ascii="Calibri" w:hAnsi="Calibri"/>
                <w:b/>
                <w:color w:val="FFFFFF"/>
                <w:sz w:val="21"/>
              </w:rPr>
              <w:t>Priority</w:t>
            </w:r>
          </w:p>
        </w:tc>
      </w:tr>
      <w:tr>
        <w:tc>
          <w:tcPr>
            <w:tcW w:type="dxa" w:w="432"/>
            <w:shd w:val="clear" w:color="auto" w:fill="F0F4FF"/>
          </w:tcPr>
          <w:p>
            <w:pPr>
              <w:spacing w:after="40"/>
            </w:pPr>
            <w:r>
              <w:rPr>
                <w:rFonts w:ascii="Calibri" w:hAnsi="Calibri"/>
                <w:color w:val="0A1628"/>
                <w:sz w:val="20"/>
              </w:rPr>
              <w:t>17</w:t>
            </w:r>
          </w:p>
        </w:tc>
        <w:tc>
          <w:tcPr>
            <w:tcW w:type="dxa" w:w="6768"/>
            <w:shd w:val="clear" w:color="auto" w:fill="F0F4FF"/>
          </w:tcPr>
          <w:p>
            <w:pPr>
              <w:spacing w:after="40"/>
            </w:pPr>
            <w:r>
              <w:rPr>
                <w:rFonts w:ascii="Calibri" w:hAnsi="Calibri"/>
                <w:color w:val="0A1628"/>
                <w:sz w:val="20"/>
              </w:rPr>
              <w:t>Add Pricing section with 3 tiers (Starter / Growth / Enterprise)</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18</w:t>
            </w:r>
          </w:p>
        </w:tc>
        <w:tc>
          <w:tcPr>
            <w:tcW w:type="dxa" w:w="6768"/>
            <w:shd w:val="clear" w:color="auto" w:fill="FFFFFF"/>
          </w:tcPr>
          <w:p>
            <w:pPr>
              <w:spacing w:after="40"/>
            </w:pPr>
            <w:r>
              <w:rPr>
                <w:rFonts w:ascii="Calibri" w:hAnsi="Calibri"/>
                <w:color w:val="0A1628"/>
                <w:sz w:val="20"/>
              </w:rPr>
              <w:t>Create 'Bench Accounting Alternative' landing page</w:t>
            </w:r>
          </w:p>
        </w:tc>
        <w:tc>
          <w:tcPr>
            <w:tcW w:type="dxa" w:w="1440"/>
            <w:shd w:val="clear" w:color="auto" w:fill="FFFFFF"/>
          </w:tcPr>
          <w:p>
            <w:pPr>
              <w:spacing w:after="40"/>
            </w:pPr>
            <w:r>
              <w:rPr>
                <w:rFonts w:ascii="Calibri" w:hAnsi="Calibri"/>
                <w:color w:val="0A1628"/>
                <w:sz w:val="20"/>
              </w:rPr>
              <w:t>High</w:t>
            </w:r>
          </w:p>
        </w:tc>
      </w:tr>
      <w:tr>
        <w:tc>
          <w:tcPr>
            <w:tcW w:type="dxa" w:w="432"/>
            <w:shd w:val="clear" w:color="auto" w:fill="F0F4FF"/>
          </w:tcPr>
          <w:p>
            <w:pPr>
              <w:spacing w:after="40"/>
            </w:pPr>
            <w:r>
              <w:rPr>
                <w:rFonts w:ascii="Calibri" w:hAnsi="Calibri"/>
                <w:color w:val="0A1628"/>
                <w:sz w:val="20"/>
              </w:rPr>
              <w:t>19</w:t>
            </w:r>
          </w:p>
        </w:tc>
        <w:tc>
          <w:tcPr>
            <w:tcW w:type="dxa" w:w="6768"/>
            <w:shd w:val="clear" w:color="auto" w:fill="F0F4FF"/>
          </w:tcPr>
          <w:p>
            <w:pPr>
              <w:spacing w:after="40"/>
            </w:pPr>
            <w:r>
              <w:rPr>
                <w:rFonts w:ascii="Calibri" w:hAnsi="Calibri"/>
                <w:color w:val="0A1628"/>
                <w:sz w:val="20"/>
              </w:rPr>
              <w:t>Create Financial Health Checklist lead magnet (PDF)</w:t>
            </w:r>
          </w:p>
        </w:tc>
        <w:tc>
          <w:tcPr>
            <w:tcW w:type="dxa" w:w="1440"/>
            <w:shd w:val="clear" w:color="auto" w:fill="F0F4FF"/>
          </w:tcPr>
          <w:p>
            <w:pPr>
              <w:spacing w:after="40"/>
            </w:pPr>
            <w:r>
              <w:rPr>
                <w:rFonts w:ascii="Calibri" w:hAnsi="Calibri"/>
                <w:color w:val="0A1628"/>
                <w:sz w:val="20"/>
              </w:rPr>
              <w:t>Medium</w:t>
            </w:r>
          </w:p>
        </w:tc>
      </w:tr>
      <w:tr>
        <w:tc>
          <w:tcPr>
            <w:tcW w:type="dxa" w:w="432"/>
            <w:shd w:val="clear" w:color="auto" w:fill="FFFFFF"/>
          </w:tcPr>
          <w:p>
            <w:pPr>
              <w:spacing w:after="40"/>
            </w:pPr>
            <w:r>
              <w:rPr>
                <w:rFonts w:ascii="Calibri" w:hAnsi="Calibri"/>
                <w:color w:val="0A1628"/>
                <w:sz w:val="20"/>
              </w:rPr>
              <w:t>20</w:t>
            </w:r>
          </w:p>
        </w:tc>
        <w:tc>
          <w:tcPr>
            <w:tcW w:type="dxa" w:w="6768"/>
            <w:shd w:val="clear" w:color="auto" w:fill="FFFFFF"/>
          </w:tcPr>
          <w:p>
            <w:pPr>
              <w:spacing w:after="40"/>
            </w:pPr>
            <w:r>
              <w:rPr>
                <w:rFonts w:ascii="Calibri" w:hAnsi="Calibri"/>
                <w:color w:val="0A1628"/>
                <w:sz w:val="20"/>
              </w:rPr>
              <w:t>Add sticky mobile CTA bar (Book a Free Call)</w:t>
            </w:r>
          </w:p>
        </w:tc>
        <w:tc>
          <w:tcPr>
            <w:tcW w:type="dxa" w:w="1440"/>
            <w:shd w:val="clear" w:color="auto" w:fill="FFFFFF"/>
          </w:tcPr>
          <w:p>
            <w:pPr>
              <w:spacing w:after="40"/>
            </w:pPr>
            <w:r>
              <w:rPr>
                <w:rFonts w:ascii="Calibri" w:hAnsi="Calibri"/>
                <w:color w:val="0A1628"/>
                <w:sz w:val="20"/>
              </w:rPr>
              <w:t>Medium</w:t>
            </w:r>
          </w:p>
        </w:tc>
      </w:tr>
      <w:tr>
        <w:tc>
          <w:tcPr>
            <w:tcW w:type="dxa" w:w="432"/>
            <w:shd w:val="clear" w:color="auto" w:fill="F0F4FF"/>
          </w:tcPr>
          <w:p>
            <w:pPr>
              <w:spacing w:after="40"/>
            </w:pPr>
            <w:r>
              <w:rPr>
                <w:rFonts w:ascii="Calibri" w:hAnsi="Calibri"/>
                <w:color w:val="0A1628"/>
                <w:sz w:val="20"/>
              </w:rPr>
              <w:t>21</w:t>
            </w:r>
          </w:p>
        </w:tc>
        <w:tc>
          <w:tcPr>
            <w:tcW w:type="dxa" w:w="6768"/>
            <w:shd w:val="clear" w:color="auto" w:fill="F0F4FF"/>
          </w:tcPr>
          <w:p>
            <w:pPr>
              <w:spacing w:after="40"/>
            </w:pPr>
            <w:r>
              <w:rPr>
                <w:rFonts w:ascii="Calibri" w:hAnsi="Calibri"/>
                <w:color w:val="0A1628"/>
                <w:sz w:val="20"/>
              </w:rPr>
              <w:t>Add consolidation platform logos to ToolsTechnology section</w:t>
            </w:r>
          </w:p>
        </w:tc>
        <w:tc>
          <w:tcPr>
            <w:tcW w:type="dxa" w:w="1440"/>
            <w:shd w:val="clear" w:color="auto" w:fill="F0F4FF"/>
          </w:tcPr>
          <w:p>
            <w:pPr>
              <w:spacing w:after="40"/>
            </w:pPr>
            <w:r>
              <w:rPr>
                <w:rFonts w:ascii="Calibri" w:hAnsi="Calibri"/>
                <w:color w:val="0A1628"/>
                <w:sz w:val="20"/>
              </w:rPr>
              <w:t>Low</w:t>
            </w:r>
          </w:p>
        </w:tc>
      </w:tr>
      <w:tr>
        <w:tc>
          <w:tcPr>
            <w:tcW w:type="dxa" w:w="432"/>
            <w:shd w:val="clear" w:color="auto" w:fill="FFFFFF"/>
          </w:tcPr>
          <w:p>
            <w:pPr>
              <w:spacing w:after="40"/>
            </w:pPr>
            <w:r>
              <w:rPr>
                <w:rFonts w:ascii="Calibri" w:hAnsi="Calibri"/>
                <w:color w:val="0A1628"/>
                <w:sz w:val="20"/>
              </w:rPr>
              <w:t>22</w:t>
            </w:r>
          </w:p>
        </w:tc>
        <w:tc>
          <w:tcPr>
            <w:tcW w:type="dxa" w:w="6768"/>
            <w:shd w:val="clear" w:color="auto" w:fill="FFFFFF"/>
          </w:tcPr>
          <w:p>
            <w:pPr>
              <w:spacing w:after="40"/>
            </w:pPr>
            <w:r>
              <w:rPr>
                <w:rFonts w:ascii="Calibri" w:hAnsi="Calibri"/>
                <w:color w:val="0A1628"/>
                <w:sz w:val="20"/>
              </w:rPr>
              <w:t>Publish Month 2 blog articles (see Section 4.3)</w:t>
            </w:r>
          </w:p>
        </w:tc>
        <w:tc>
          <w:tcPr>
            <w:tcW w:type="dxa" w:w="1440"/>
            <w:shd w:val="clear" w:color="auto" w:fill="FFFFFF"/>
          </w:tcPr>
          <w:p>
            <w:pPr>
              <w:spacing w:after="40"/>
            </w:pPr>
            <w:r>
              <w:rPr>
                <w:rFonts w:ascii="Calibri" w:hAnsi="Calibri"/>
                <w:color w:val="0A1628"/>
                <w:sz w:val="20"/>
              </w:rPr>
              <w:t>High</w:t>
            </w:r>
          </w:p>
        </w:tc>
      </w:tr>
      <w:tr>
        <w:tc>
          <w:tcPr>
            <w:tcW w:type="dxa" w:w="432"/>
            <w:shd w:val="clear" w:color="auto" w:fill="F0F4FF"/>
          </w:tcPr>
          <w:p>
            <w:pPr>
              <w:spacing w:after="40"/>
            </w:pPr>
            <w:r>
              <w:rPr>
                <w:rFonts w:ascii="Calibri" w:hAnsi="Calibri"/>
                <w:color w:val="0A1628"/>
                <w:sz w:val="20"/>
              </w:rPr>
              <w:t>23</w:t>
            </w:r>
          </w:p>
        </w:tc>
        <w:tc>
          <w:tcPr>
            <w:tcW w:type="dxa" w:w="6768"/>
            <w:shd w:val="clear" w:color="auto" w:fill="F0F4FF"/>
          </w:tcPr>
          <w:p>
            <w:pPr>
              <w:spacing w:after="40"/>
            </w:pPr>
            <w:r>
              <w:rPr>
                <w:rFonts w:ascii="Calibri" w:hAnsi="Calibri"/>
                <w:color w:val="0A1628"/>
                <w:sz w:val="20"/>
              </w:rPr>
              <w:t>Add Service JSON-LD schema for each core service</w:t>
            </w:r>
          </w:p>
        </w:tc>
        <w:tc>
          <w:tcPr>
            <w:tcW w:type="dxa" w:w="1440"/>
            <w:shd w:val="clear" w:color="auto" w:fill="F0F4FF"/>
          </w:tcPr>
          <w:p>
            <w:pPr>
              <w:spacing w:after="40"/>
            </w:pPr>
            <w:r>
              <w:rPr>
                <w:rFonts w:ascii="Calibri" w:hAnsi="Calibri"/>
                <w:color w:val="0A1628"/>
                <w:sz w:val="20"/>
              </w:rPr>
              <w:t>Medium</w:t>
            </w:r>
          </w:p>
        </w:tc>
      </w:tr>
      <w:tr>
        <w:tc>
          <w:tcPr>
            <w:tcW w:type="dxa" w:w="432"/>
            <w:shd w:val="clear" w:color="auto" w:fill="FFFFFF"/>
          </w:tcPr>
          <w:p>
            <w:pPr>
              <w:spacing w:after="40"/>
            </w:pPr>
            <w:r>
              <w:rPr>
                <w:rFonts w:ascii="Calibri" w:hAnsi="Calibri"/>
                <w:color w:val="0A1628"/>
                <w:sz w:val="20"/>
              </w:rPr>
              <w:t>24</w:t>
            </w:r>
          </w:p>
        </w:tc>
        <w:tc>
          <w:tcPr>
            <w:tcW w:type="dxa" w:w="6768"/>
            <w:shd w:val="clear" w:color="auto" w:fill="FFFFFF"/>
          </w:tcPr>
          <w:p>
            <w:pPr>
              <w:spacing w:after="40"/>
            </w:pPr>
            <w:r>
              <w:rPr>
                <w:rFonts w:ascii="Calibri" w:hAnsi="Calibri"/>
                <w:color w:val="0A1628"/>
                <w:sz w:val="20"/>
              </w:rPr>
              <w:t>Build simple About/Team page with 2-3 team member profiles</w:t>
            </w:r>
          </w:p>
        </w:tc>
        <w:tc>
          <w:tcPr>
            <w:tcW w:type="dxa" w:w="1440"/>
            <w:shd w:val="clear" w:color="auto" w:fill="FFFFFF"/>
          </w:tcPr>
          <w:p>
            <w:pPr>
              <w:spacing w:after="40"/>
            </w:pPr>
            <w:r>
              <w:rPr>
                <w:rFonts w:ascii="Calibri" w:hAnsi="Calibri"/>
                <w:color w:val="0A1628"/>
                <w:sz w:val="20"/>
              </w:rPr>
              <w:t>Medium</w:t>
            </w:r>
          </w:p>
        </w:tc>
      </w:tr>
    </w:tbl>
    <w:p/>
    <w:p>
      <w:pPr>
        <w:spacing w:before="240" w:after="80"/>
      </w:pPr>
      <w:r>
        <w:rPr>
          <w:rFonts w:ascii="Calibri" w:hAnsi="Calibri"/>
          <w:b/>
          <w:color w:val="1B4FD8"/>
          <w:sz w:val="28"/>
        </w:rPr>
        <w:t>Month 3 — Authority Building</w:t>
      </w:r>
    </w:p>
    <w:tbl>
      <w:tblPr>
        <w:tblStyle w:val="TableGrid"/>
        <w:tblW w:type="auto" w:w="0"/>
        <w:jc w:val="center"/>
        <w:tblLook w:firstColumn="1" w:firstRow="1" w:lastColumn="0" w:lastRow="0" w:noHBand="0" w:noVBand="1" w:val="04A0"/>
      </w:tblPr>
      <w:tblGrid>
        <w:gridCol w:w="3024"/>
        <w:gridCol w:w="3024"/>
        <w:gridCol w:w="3024"/>
      </w:tblGrid>
      <w:tr>
        <w:tc>
          <w:tcPr>
            <w:tcW w:type="dxa" w:w="432"/>
            <w:shd w:val="clear" w:color="auto" w:fill="1B4FD8"/>
          </w:tcPr>
          <w:p>
            <w:pPr>
              <w:jc w:val="center"/>
            </w:pPr>
            <w:r>
              <w:rPr>
                <w:rFonts w:ascii="Calibri" w:hAnsi="Calibri"/>
                <w:b/>
                <w:color w:val="FFFFFF"/>
                <w:sz w:val="21"/>
              </w:rPr>
              <w:t>#</w:t>
            </w:r>
          </w:p>
        </w:tc>
        <w:tc>
          <w:tcPr>
            <w:tcW w:type="dxa" w:w="6768"/>
            <w:shd w:val="clear" w:color="auto" w:fill="1B4FD8"/>
          </w:tcPr>
          <w:p>
            <w:pPr>
              <w:jc w:val="center"/>
            </w:pPr>
            <w:r>
              <w:rPr>
                <w:rFonts w:ascii="Calibri" w:hAnsi="Calibri"/>
                <w:b/>
                <w:color w:val="FFFFFF"/>
                <w:sz w:val="21"/>
              </w:rPr>
              <w:t>Action</w:t>
            </w:r>
          </w:p>
        </w:tc>
        <w:tc>
          <w:tcPr>
            <w:tcW w:type="dxa" w:w="1440"/>
            <w:shd w:val="clear" w:color="auto" w:fill="1B4FD8"/>
          </w:tcPr>
          <w:p>
            <w:pPr>
              <w:jc w:val="center"/>
            </w:pPr>
            <w:r>
              <w:rPr>
                <w:rFonts w:ascii="Calibri" w:hAnsi="Calibri"/>
                <w:b/>
                <w:color w:val="FFFFFF"/>
                <w:sz w:val="21"/>
              </w:rPr>
              <w:t>Priority</w:t>
            </w:r>
          </w:p>
        </w:tc>
      </w:tr>
      <w:tr>
        <w:tc>
          <w:tcPr>
            <w:tcW w:type="dxa" w:w="432"/>
            <w:shd w:val="clear" w:color="auto" w:fill="F0F4FF"/>
          </w:tcPr>
          <w:p>
            <w:pPr>
              <w:spacing w:after="40"/>
            </w:pPr>
            <w:r>
              <w:rPr>
                <w:rFonts w:ascii="Calibri" w:hAnsi="Calibri"/>
                <w:color w:val="0A1628"/>
                <w:sz w:val="20"/>
              </w:rPr>
              <w:t>25</w:t>
            </w:r>
          </w:p>
        </w:tc>
        <w:tc>
          <w:tcPr>
            <w:tcW w:type="dxa" w:w="6768"/>
            <w:shd w:val="clear" w:color="auto" w:fill="F0F4FF"/>
          </w:tcPr>
          <w:p>
            <w:pPr>
              <w:spacing w:after="40"/>
            </w:pPr>
            <w:r>
              <w:rPr>
                <w:rFonts w:ascii="Calibri" w:hAnsi="Calibri"/>
                <w:color w:val="0A1628"/>
                <w:sz w:val="20"/>
              </w:rPr>
              <w:t>Launch IFRS specialists landing page targeting IFRS keyword cluster</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26</w:t>
            </w:r>
          </w:p>
        </w:tc>
        <w:tc>
          <w:tcPr>
            <w:tcW w:type="dxa" w:w="6768"/>
            <w:shd w:val="clear" w:color="auto" w:fill="FFFFFF"/>
          </w:tcPr>
          <w:p>
            <w:pPr>
              <w:spacing w:after="40"/>
            </w:pPr>
            <w:r>
              <w:rPr>
                <w:rFonts w:ascii="Calibri" w:hAnsi="Calibri"/>
                <w:color w:val="0A1628"/>
                <w:sz w:val="20"/>
              </w:rPr>
              <w:t>Launch Group Consolidation landing page</w:t>
            </w:r>
          </w:p>
        </w:tc>
        <w:tc>
          <w:tcPr>
            <w:tcW w:type="dxa" w:w="1440"/>
            <w:shd w:val="clear" w:color="auto" w:fill="FFFFFF"/>
          </w:tcPr>
          <w:p>
            <w:pPr>
              <w:spacing w:after="40"/>
            </w:pPr>
            <w:r>
              <w:rPr>
                <w:rFonts w:ascii="Calibri" w:hAnsi="Calibri"/>
                <w:color w:val="0A1628"/>
                <w:sz w:val="20"/>
              </w:rPr>
              <w:t>High</w:t>
            </w:r>
          </w:p>
        </w:tc>
      </w:tr>
      <w:tr>
        <w:tc>
          <w:tcPr>
            <w:tcW w:type="dxa" w:w="432"/>
            <w:shd w:val="clear" w:color="auto" w:fill="F0F4FF"/>
          </w:tcPr>
          <w:p>
            <w:pPr>
              <w:spacing w:after="40"/>
            </w:pPr>
            <w:r>
              <w:rPr>
                <w:rFonts w:ascii="Calibri" w:hAnsi="Calibri"/>
                <w:color w:val="0A1628"/>
                <w:sz w:val="20"/>
              </w:rPr>
              <w:t>27</w:t>
            </w:r>
          </w:p>
        </w:tc>
        <w:tc>
          <w:tcPr>
            <w:tcW w:type="dxa" w:w="6768"/>
            <w:shd w:val="clear" w:color="auto" w:fill="F0F4FF"/>
          </w:tcPr>
          <w:p>
            <w:pPr>
              <w:spacing w:after="40"/>
            </w:pPr>
            <w:r>
              <w:rPr>
                <w:rFonts w:ascii="Calibri" w:hAnsi="Calibri"/>
                <w:color w:val="0A1628"/>
                <w:sz w:val="20"/>
              </w:rPr>
              <w:t>Publish Month 3 blog articles (Catch-up bookkeeping, LucaNet guide, Startup finance)</w:t>
            </w:r>
          </w:p>
        </w:tc>
        <w:tc>
          <w:tcPr>
            <w:tcW w:type="dxa" w:w="1440"/>
            <w:shd w:val="clear" w:color="auto" w:fill="F0F4FF"/>
          </w:tcPr>
          <w:p>
            <w:pPr>
              <w:spacing w:after="40"/>
            </w:pPr>
            <w:r>
              <w:rPr>
                <w:rFonts w:ascii="Calibri" w:hAnsi="Calibri"/>
                <w:color w:val="0A1628"/>
                <w:sz w:val="20"/>
              </w:rPr>
              <w:t>High</w:t>
            </w:r>
          </w:p>
        </w:tc>
      </w:tr>
      <w:tr>
        <w:tc>
          <w:tcPr>
            <w:tcW w:type="dxa" w:w="432"/>
            <w:shd w:val="clear" w:color="auto" w:fill="FFFFFF"/>
          </w:tcPr>
          <w:p>
            <w:pPr>
              <w:spacing w:after="40"/>
            </w:pPr>
            <w:r>
              <w:rPr>
                <w:rFonts w:ascii="Calibri" w:hAnsi="Calibri"/>
                <w:color w:val="0A1628"/>
                <w:sz w:val="20"/>
              </w:rPr>
              <w:t>28</w:t>
            </w:r>
          </w:p>
        </w:tc>
        <w:tc>
          <w:tcPr>
            <w:tcW w:type="dxa" w:w="6768"/>
            <w:shd w:val="clear" w:color="auto" w:fill="FFFFFF"/>
          </w:tcPr>
          <w:p>
            <w:pPr>
              <w:spacing w:after="40"/>
            </w:pPr>
            <w:r>
              <w:rPr>
                <w:rFonts w:ascii="Calibri" w:hAnsi="Calibri"/>
                <w:color w:val="0A1628"/>
                <w:sz w:val="20"/>
              </w:rPr>
              <w:t>Build In-House vs. Outsourced Cost Calculator (interactive or PDF)</w:t>
            </w:r>
          </w:p>
        </w:tc>
        <w:tc>
          <w:tcPr>
            <w:tcW w:type="dxa" w:w="1440"/>
            <w:shd w:val="clear" w:color="auto" w:fill="FFFFFF"/>
          </w:tcPr>
          <w:p>
            <w:pPr>
              <w:spacing w:after="40"/>
            </w:pPr>
            <w:r>
              <w:rPr>
                <w:rFonts w:ascii="Calibri" w:hAnsi="Calibri"/>
                <w:color w:val="0A1628"/>
                <w:sz w:val="20"/>
              </w:rPr>
              <w:t>Medium</w:t>
            </w:r>
          </w:p>
        </w:tc>
      </w:tr>
      <w:tr>
        <w:tc>
          <w:tcPr>
            <w:tcW w:type="dxa" w:w="432"/>
            <w:shd w:val="clear" w:color="auto" w:fill="F0F4FF"/>
          </w:tcPr>
          <w:p>
            <w:pPr>
              <w:spacing w:after="40"/>
            </w:pPr>
            <w:r>
              <w:rPr>
                <w:rFonts w:ascii="Calibri" w:hAnsi="Calibri"/>
                <w:color w:val="0A1628"/>
                <w:sz w:val="20"/>
              </w:rPr>
              <w:t>29</w:t>
            </w:r>
          </w:p>
        </w:tc>
        <w:tc>
          <w:tcPr>
            <w:tcW w:type="dxa" w:w="6768"/>
            <w:shd w:val="clear" w:color="auto" w:fill="F0F4FF"/>
          </w:tcPr>
          <w:p>
            <w:pPr>
              <w:spacing w:after="40"/>
            </w:pPr>
            <w:r>
              <w:rPr>
                <w:rFonts w:ascii="Calibri" w:hAnsi="Calibri"/>
                <w:color w:val="0A1628"/>
                <w:sz w:val="20"/>
              </w:rPr>
              <w:t>Start LinkedIn content series — 2 posts/week from company page</w:t>
            </w:r>
          </w:p>
        </w:tc>
        <w:tc>
          <w:tcPr>
            <w:tcW w:type="dxa" w:w="1440"/>
            <w:shd w:val="clear" w:color="auto" w:fill="F0F4FF"/>
          </w:tcPr>
          <w:p>
            <w:pPr>
              <w:spacing w:after="40"/>
            </w:pPr>
            <w:r>
              <w:rPr>
                <w:rFonts w:ascii="Calibri" w:hAnsi="Calibri"/>
                <w:color w:val="0A1628"/>
                <w:sz w:val="20"/>
              </w:rPr>
              <w:t>Medium</w:t>
            </w:r>
          </w:p>
        </w:tc>
      </w:tr>
      <w:tr>
        <w:tc>
          <w:tcPr>
            <w:tcW w:type="dxa" w:w="432"/>
            <w:shd w:val="clear" w:color="auto" w:fill="FFFFFF"/>
          </w:tcPr>
          <w:p>
            <w:pPr>
              <w:spacing w:after="40"/>
            </w:pPr>
            <w:r>
              <w:rPr>
                <w:rFonts w:ascii="Calibri" w:hAnsi="Calibri"/>
                <w:color w:val="0A1628"/>
                <w:sz w:val="20"/>
              </w:rPr>
              <w:t>30</w:t>
            </w:r>
          </w:p>
        </w:tc>
        <w:tc>
          <w:tcPr>
            <w:tcW w:type="dxa" w:w="6768"/>
            <w:shd w:val="clear" w:color="auto" w:fill="FFFFFF"/>
          </w:tcPr>
          <w:p>
            <w:pPr>
              <w:spacing w:after="40"/>
            </w:pPr>
            <w:r>
              <w:rPr>
                <w:rFonts w:ascii="Calibri" w:hAnsi="Calibri"/>
                <w:color w:val="0A1628"/>
                <w:sz w:val="20"/>
              </w:rPr>
              <w:t>Add client logo strip (anonymised or with permission)</w:t>
            </w:r>
          </w:p>
        </w:tc>
        <w:tc>
          <w:tcPr>
            <w:tcW w:type="dxa" w:w="1440"/>
            <w:shd w:val="clear" w:color="auto" w:fill="FFFFFF"/>
          </w:tcPr>
          <w:p>
            <w:pPr>
              <w:spacing w:after="40"/>
            </w:pPr>
            <w:r>
              <w:rPr>
                <w:rFonts w:ascii="Calibri" w:hAnsi="Calibri"/>
                <w:color w:val="0A1628"/>
                <w:sz w:val="20"/>
              </w:rPr>
              <w:t>Medium</w:t>
            </w:r>
          </w:p>
        </w:tc>
      </w:tr>
      <w:tr>
        <w:tc>
          <w:tcPr>
            <w:tcW w:type="dxa" w:w="432"/>
            <w:shd w:val="clear" w:color="auto" w:fill="F0F4FF"/>
          </w:tcPr>
          <w:p>
            <w:pPr>
              <w:spacing w:after="40"/>
            </w:pPr>
            <w:r>
              <w:rPr>
                <w:rFonts w:ascii="Calibri" w:hAnsi="Calibri"/>
                <w:color w:val="0A1628"/>
                <w:sz w:val="20"/>
              </w:rPr>
              <w:t>31</w:t>
            </w:r>
          </w:p>
        </w:tc>
        <w:tc>
          <w:tcPr>
            <w:tcW w:type="dxa" w:w="6768"/>
            <w:shd w:val="clear" w:color="auto" w:fill="F0F4FF"/>
          </w:tcPr>
          <w:p>
            <w:pPr>
              <w:spacing w:after="40"/>
            </w:pPr>
            <w:r>
              <w:rPr>
                <w:rFonts w:ascii="Calibri" w:hAnsi="Calibri"/>
                <w:color w:val="0A1628"/>
                <w:sz w:val="20"/>
              </w:rPr>
              <w:t>Run Google Search Console analysis — identify which keywords are generating impressions and double down</w:t>
            </w:r>
          </w:p>
        </w:tc>
        <w:tc>
          <w:tcPr>
            <w:tcW w:type="dxa" w:w="1440"/>
            <w:shd w:val="clear" w:color="auto" w:fill="F0F4FF"/>
          </w:tcPr>
          <w:p>
            <w:pPr>
              <w:spacing w:after="40"/>
            </w:pPr>
            <w:r>
              <w:rPr>
                <w:rFonts w:ascii="Calibri" w:hAnsi="Calibri"/>
                <w:color w:val="0A1628"/>
                <w:sz w:val="20"/>
              </w:rPr>
              <w:t>High</w:t>
            </w:r>
          </w:p>
        </w:tc>
      </w:tr>
    </w:tbl>
    <w:p/>
    <w:p>
      <w:r>
        <w:br w:type="page"/>
      </w:r>
    </w:p>
    <w:p>
      <w:pPr>
        <w:spacing w:before="360" w:after="120"/>
        <w:jc w:val="left"/>
        <w:pBdr>
          <w:bottom w:val="single" w:sz="6" w:space="2" w:color="1B4FD8"/>
        </w:pBdr>
      </w:pPr>
      <w:r>
        <w:rPr>
          <w:rFonts w:ascii="Calibri" w:hAnsi="Calibri"/>
          <w:b/>
          <w:color w:val="0A1628"/>
          <w:sz w:val="36"/>
        </w:rPr>
        <w:t>9. Quick Reference — Specific Code Changes</w:t>
      </w:r>
    </w:p>
    <w:p>
      <w:pPr>
        <w:spacing w:before="0" w:after="100"/>
      </w:pPr>
      <w:r>
        <w:rPr>
          <w:rFonts w:ascii="Calibri" w:hAnsi="Calibri"/>
          <w:sz w:val="22"/>
        </w:rPr>
        <w:t>The following are the exact file-level changes needed for Week 1 fixes.</w:t>
      </w:r>
    </w:p>
    <w:p>
      <w:pPr>
        <w:spacing w:before="240" w:after="80"/>
      </w:pPr>
      <w:r>
        <w:rPr>
          <w:rFonts w:ascii="Calibri" w:hAnsi="Calibri"/>
          <w:b/>
          <w:color w:val="1B4FD8"/>
          <w:sz w:val="28"/>
        </w:rPr>
        <w:t>app/layout.tsx — Updated Metadata</w:t>
      </w:r>
    </w:p>
    <w:tbl>
      <w:tblPr>
        <w:tblW w:type="auto" w:w="0"/>
        <w:jc w:val="center"/>
        <w:tblLook w:firstColumn="1" w:firstRow="1" w:lastColumn="0" w:lastRow="0" w:noHBand="0" w:noVBand="1" w:val="04A0"/>
      </w:tblPr>
      <w:tblGrid>
        <w:gridCol w:w="9072"/>
      </w:tblGrid>
      <w:tr>
        <w:tc>
          <w:tcPr>
            <w:tcW w:type="dxa" w:w="9072"/>
            <w:shd w:val="clear" w:color="auto" w:fill="EEF3FF"/>
            <w:tcBorders>
              <w:top w:val="single" w:sz="12" w:space="0" w:color="1B4FD8"/>
              <w:left w:val="single" w:sz="12" w:space="0" w:color="1B4FD8"/>
              <w:bottom w:val="single" w:sz="12" w:space="0" w:color="1B4FD8"/>
              <w:right w:val="single" w:sz="12" w:space="0" w:color="1B4FD8"/>
            </w:tcBorders>
            <w:tcMar>
              <w:top w:w="140" w:type="dxa"/>
              <w:left w:w="140" w:type="dxa"/>
              <w:bottom w:w="140" w:type="dxa"/>
              <w:right w:w="140" w:type="dxa"/>
            </w:tcMar>
          </w:tcPr>
          <w:p>
            <w:pPr>
              <w:spacing w:after="80"/>
            </w:pPr>
            <w:r>
              <w:rPr>
                <w:rFonts w:ascii="Calibri" w:hAnsi="Calibri"/>
                <w:b/>
                <w:color w:val="1B4FD8"/>
                <w:sz w:val="24"/>
              </w:rPr>
              <w:t>Replace the existing metadata export with:</w:t>
            </w:r>
          </w:p>
          <w:p>
            <w:pPr>
              <w:spacing w:after="40"/>
            </w:pPr>
            <w:r>
              <w:rPr>
                <w:rFonts w:ascii="Calibri" w:hAnsi="Calibri"/>
                <w:color w:val="0A1628"/>
                <w:sz w:val="21"/>
              </w:rPr>
              <w:t>title: "Virtual Bookkeeping &amp; Accounting Services | FinAccSolutions",</w:t>
            </w:r>
          </w:p>
          <w:p>
            <w:pPr>
              <w:spacing w:after="40"/>
            </w:pPr>
            <w:r>
              <w:rPr>
                <w:rFonts w:ascii="Calibri" w:hAnsi="Calibri"/>
                <w:color w:val="0A1628"/>
                <w:sz w:val="21"/>
              </w:rPr>
              <w:t>description: "Big 4-trained virtual accountants &amp; bookkeepers. IFRS &amp; US GAAP certified.</w:t>
            </w:r>
          </w:p>
          <w:p>
            <w:pPr>
              <w:spacing w:after="40"/>
            </w:pPr>
            <w:r>
              <w:rPr>
                <w:rFonts w:ascii="Calibri" w:hAnsi="Calibri"/>
                <w:color w:val="0A1628"/>
                <w:sz w:val="21"/>
              </w:rPr>
              <w:t xml:space="preserve">  Bookkeeping, payroll, group consolidation, budgeting &amp; virtual CFO services.</w:t>
            </w:r>
          </w:p>
          <w:p>
            <w:pPr>
              <w:spacing w:after="40"/>
            </w:pPr>
            <w:r>
              <w:rPr>
                <w:rFonts w:ascii="Calibri" w:hAnsi="Calibri"/>
                <w:color w:val="0A1628"/>
                <w:sz w:val="21"/>
              </w:rPr>
              <w:t xml:space="preserve">  30+ countries served. Book a free consultation.",</w:t>
            </w:r>
          </w:p>
          <w:p>
            <w:pPr>
              <w:spacing w:after="40"/>
            </w:pPr>
            <w:r>
              <w:rPr>
                <w:rFonts w:ascii="Calibri" w:hAnsi="Calibri"/>
                <w:color w:val="0A1628"/>
                <w:sz w:val="21"/>
              </w:rPr>
              <w:t>keywords: ["virtual bookkeeper", "outsourced accounting", "IFRS accountant",</w:t>
            </w:r>
          </w:p>
          <w:p>
            <w:pPr>
              <w:spacing w:after="40"/>
            </w:pPr>
            <w:r>
              <w:rPr>
                <w:rFonts w:ascii="Calibri" w:hAnsi="Calibri"/>
                <w:color w:val="0A1628"/>
                <w:sz w:val="21"/>
              </w:rPr>
              <w:t xml:space="preserve">  "US GAAP bookkeeping", "group consolidation service", "remote accountant",</w:t>
            </w:r>
          </w:p>
          <w:p>
            <w:pPr>
              <w:spacing w:after="40"/>
            </w:pPr>
            <w:r>
              <w:rPr>
                <w:rFonts w:ascii="Calibri" w:hAnsi="Calibri"/>
                <w:color w:val="0A1628"/>
                <w:sz w:val="21"/>
              </w:rPr>
              <w:t xml:space="preserve">  "outsourced CFO", "bookkeeping for small business"],</w:t>
            </w:r>
          </w:p>
          <w:p>
            <w:pPr>
              <w:spacing w:after="40"/>
            </w:pPr>
            <w:r>
              <w:rPr>
                <w:rFonts w:ascii="Calibri" w:hAnsi="Calibri"/>
                <w:color w:val="0A1628"/>
                <w:sz w:val="21"/>
              </w:rPr>
              <w:t>Add: openGraph.images: ["/og-image.jpg"]</w:t>
            </w:r>
          </w:p>
        </w:tc>
      </w:tr>
    </w:tbl>
    <w:p/>
    <w:p>
      <w:pPr>
        <w:spacing w:before="240" w:after="80"/>
      </w:pPr>
      <w:r>
        <w:rPr>
          <w:rFonts w:ascii="Calibri" w:hAnsi="Calibri"/>
          <w:b/>
          <w:color w:val="1B4FD8"/>
          <w:sz w:val="28"/>
        </w:rPr>
        <w:t>app/page.tsx — Add Testimonials</w:t>
      </w:r>
    </w:p>
    <w:tbl>
      <w:tblPr>
        <w:tblW w:type="auto" w:w="0"/>
        <w:jc w:val="center"/>
        <w:tblLook w:firstColumn="1" w:firstRow="1" w:lastColumn="0" w:lastRow="0" w:noHBand="0" w:noVBand="1" w:val="04A0"/>
      </w:tblPr>
      <w:tblGrid>
        <w:gridCol w:w="9072"/>
      </w:tblGrid>
      <w:tr>
        <w:tc>
          <w:tcPr>
            <w:tcW w:type="dxa" w:w="9072"/>
            <w:shd w:val="clear" w:color="auto" w:fill="EEF3FF"/>
            <w:tcBorders>
              <w:top w:val="single" w:sz="12" w:space="0" w:color="1B4FD8"/>
              <w:left w:val="single" w:sz="12" w:space="0" w:color="1B4FD8"/>
              <w:bottom w:val="single" w:sz="12" w:space="0" w:color="1B4FD8"/>
              <w:right w:val="single" w:sz="12" w:space="0" w:color="1B4FD8"/>
            </w:tcBorders>
            <w:tcMar>
              <w:top w:w="140" w:type="dxa"/>
              <w:left w:w="140" w:type="dxa"/>
              <w:bottom w:w="140" w:type="dxa"/>
              <w:right w:w="140" w:type="dxa"/>
            </w:tcMar>
          </w:tcPr>
          <w:p>
            <w:pPr>
              <w:spacing w:after="80"/>
            </w:pPr>
            <w:r>
              <w:rPr>
                <w:rFonts w:ascii="Calibri" w:hAnsi="Calibri"/>
                <w:b/>
                <w:color w:val="1B4FD8"/>
                <w:sz w:val="24"/>
              </w:rPr>
              <w:t>Add these two lines to page.tsx:</w:t>
            </w:r>
          </w:p>
          <w:p>
            <w:pPr>
              <w:spacing w:after="40"/>
            </w:pPr>
            <w:r>
              <w:rPr>
                <w:rFonts w:ascii="Calibri" w:hAnsi="Calibri"/>
                <w:color w:val="0A1628"/>
                <w:sz w:val="21"/>
              </w:rPr>
              <w:t>Import:  import Testimonials from '@/components/sections/Testimonials'</w:t>
            </w:r>
          </w:p>
          <w:p>
            <w:pPr>
              <w:spacing w:after="40"/>
            </w:pPr>
            <w:r>
              <w:rPr>
                <w:rFonts w:ascii="Calibri" w:hAnsi="Calibri"/>
                <w:color w:val="0A1628"/>
                <w:sz w:val="21"/>
              </w:rPr>
              <w:t>JSX:     Add &lt;Testimonials /&gt; between &lt;WhoWeWorkWith /&gt; and &lt;ContactForm /&gt;</w:t>
            </w:r>
          </w:p>
        </w:tc>
      </w:tr>
    </w:tbl>
    <w:p/>
    <w:p>
      <w:pPr>
        <w:spacing w:before="240" w:after="80"/>
      </w:pPr>
      <w:r>
        <w:rPr>
          <w:rFonts w:ascii="Calibri" w:hAnsi="Calibri"/>
          <w:b/>
          <w:color w:val="1B4FD8"/>
          <w:sz w:val="28"/>
        </w:rPr>
        <w:t>Hero.tsx — Dashboard Label Fix</w:t>
      </w:r>
    </w:p>
    <w:tbl>
      <w:tblPr>
        <w:tblW w:type="auto" w:w="0"/>
        <w:jc w:val="center"/>
        <w:tblLook w:firstColumn="1" w:firstRow="1" w:lastColumn="0" w:lastRow="0" w:noHBand="0" w:noVBand="1" w:val="04A0"/>
      </w:tblPr>
      <w:tblGrid>
        <w:gridCol w:w="9072"/>
      </w:tblGrid>
      <w:tr>
        <w:tc>
          <w:tcPr>
            <w:tcW w:type="dxa" w:w="9072"/>
            <w:shd w:val="clear" w:color="auto" w:fill="FFFBEB"/>
            <w:tcBorders>
              <w:top w:val="single" w:sz="12" w:space="0" w:color="F59E0B"/>
              <w:left w:val="single" w:sz="12" w:space="0" w:color="F59E0B"/>
              <w:bottom w:val="single" w:sz="12" w:space="0" w:color="F59E0B"/>
              <w:right w:val="single" w:sz="12" w:space="0" w:color="F59E0B"/>
            </w:tcBorders>
            <w:tcMar>
              <w:top w:w="140" w:type="dxa"/>
              <w:left w:w="140" w:type="dxa"/>
              <w:bottom w:w="140" w:type="dxa"/>
              <w:right w:w="140" w:type="dxa"/>
            </w:tcMar>
          </w:tcPr>
          <w:p>
            <w:pPr>
              <w:spacing w:after="80"/>
            </w:pPr>
            <w:r>
              <w:rPr>
                <w:rFonts w:ascii="Calibri" w:hAnsi="Calibri"/>
                <w:b/>
                <w:color w:val="F59E0B"/>
                <w:sz w:val="24"/>
              </w:rPr>
              <w:t>Change line in the dashboard header:</w:t>
            </w:r>
          </w:p>
          <w:p>
            <w:pPr>
              <w:spacing w:after="40"/>
            </w:pPr>
            <w:r>
              <w:rPr>
                <w:rFonts w:ascii="Calibri" w:hAnsi="Calibri"/>
                <w:color w:val="0A1628"/>
                <w:sz w:val="21"/>
              </w:rPr>
              <w:t>Current:  LIVE PLATFORM OVERVIEW</w:t>
            </w:r>
          </w:p>
          <w:p>
            <w:pPr>
              <w:spacing w:after="40"/>
            </w:pPr>
            <w:r>
              <w:rPr>
                <w:rFonts w:ascii="Calibri" w:hAnsi="Calibri"/>
                <w:color w:val="0A1628"/>
                <w:sz w:val="21"/>
              </w:rPr>
              <w:t>Change to:  SAMPLE CLIENT DASHBOARD</w:t>
            </w:r>
          </w:p>
          <w:p>
            <w:pPr>
              <w:spacing w:after="40"/>
            </w:pPr>
            <w:r>
              <w:rPr>
                <w:rFonts w:ascii="Calibri" w:hAnsi="Calibri"/>
                <w:color w:val="0A1628"/>
                <w:sz w:val="21"/>
              </w:rPr>
              <w:t>(Also change 'Synced' badge to 'Example' to avoid misleading visitors)</w:t>
            </w:r>
          </w:p>
        </w:tc>
      </w:tr>
    </w:tbl>
    <w:p/>
    <w:p>
      <w:pPr>
        <w:spacing w:before="240" w:after="80"/>
      </w:pPr>
      <w:r>
        <w:rPr>
          <w:rFonts w:ascii="Calibri" w:hAnsi="Calibri"/>
          <w:b/>
          <w:color w:val="1B4FD8"/>
          <w:sz w:val="28"/>
        </w:rPr>
        <w:t>ContactForm.tsx — Real Form Submission</w:t>
      </w:r>
    </w:p>
    <w:tbl>
      <w:tblPr>
        <w:tblW w:type="auto" w:w="0"/>
        <w:jc w:val="center"/>
        <w:tblLook w:firstColumn="1" w:firstRow="1" w:lastColumn="0" w:lastRow="0" w:noHBand="0" w:noVBand="1" w:val="04A0"/>
      </w:tblPr>
      <w:tblGrid>
        <w:gridCol w:w="9072"/>
      </w:tblGrid>
      <w:tr>
        <w:tc>
          <w:tcPr>
            <w:tcW w:type="dxa" w:w="9072"/>
            <w:shd w:val="clear" w:color="auto" w:fill="FFF5F5"/>
            <w:tcBorders>
              <w:top w:val="single" w:sz="12" w:space="0" w:color="DC2626"/>
              <w:left w:val="single" w:sz="12" w:space="0" w:color="DC2626"/>
              <w:bottom w:val="single" w:sz="12" w:space="0" w:color="DC2626"/>
              <w:right w:val="single" w:sz="12" w:space="0" w:color="DC2626"/>
            </w:tcBorders>
            <w:tcMar>
              <w:top w:w="140" w:type="dxa"/>
              <w:left w:w="140" w:type="dxa"/>
              <w:bottom w:w="140" w:type="dxa"/>
              <w:right w:w="140" w:type="dxa"/>
            </w:tcMar>
          </w:tcPr>
          <w:p>
            <w:pPr>
              <w:spacing w:after="80"/>
            </w:pPr>
            <w:r>
              <w:rPr>
                <w:rFonts w:ascii="Calibri" w:hAnsi="Calibri"/>
                <w:b/>
                <w:color w:val="DC2626"/>
                <w:sz w:val="24"/>
              </w:rPr>
              <w:t>Replace the handleSubmit function:</w:t>
            </w:r>
          </w:p>
          <w:p>
            <w:pPr>
              <w:spacing w:after="40"/>
            </w:pPr>
            <w:r>
              <w:rPr>
                <w:rFonts w:ascii="Calibri" w:hAnsi="Calibri"/>
                <w:color w:val="0A1628"/>
                <w:sz w:val="21"/>
              </w:rPr>
              <w:t>1. Sign up at formspree.io — create a form and copy your endpoint URL.</w:t>
            </w:r>
          </w:p>
          <w:p>
            <w:pPr>
              <w:spacing w:after="40"/>
            </w:pPr>
            <w:r>
              <w:rPr>
                <w:rFonts w:ascii="Calibri" w:hAnsi="Calibri"/>
                <w:color w:val="0A1628"/>
                <w:sz w:val="21"/>
              </w:rPr>
              <w:t>2. Replace the setTimeout block with:</w:t>
            </w:r>
          </w:p>
          <w:p>
            <w:pPr>
              <w:spacing w:after="40"/>
            </w:pPr>
            <w:r>
              <w:rPr>
                <w:rFonts w:ascii="Calibri" w:hAnsi="Calibri"/>
                <w:color w:val="0A1628"/>
                <w:sz w:val="21"/>
              </w:rPr>
              <w:t xml:space="preserve">   const res = await fetch('https://formspree.io/f/YOUR_ID', {</w:t>
            </w:r>
          </w:p>
          <w:p>
            <w:pPr>
              <w:spacing w:after="40"/>
            </w:pPr>
            <w:r>
              <w:rPr>
                <w:rFonts w:ascii="Calibri" w:hAnsi="Calibri"/>
                <w:color w:val="0A1628"/>
                <w:sz w:val="21"/>
              </w:rPr>
              <w:t xml:space="preserve">     method: 'POST',</w:t>
            </w:r>
          </w:p>
          <w:p>
            <w:pPr>
              <w:spacing w:after="40"/>
            </w:pPr>
            <w:r>
              <w:rPr>
                <w:rFonts w:ascii="Calibri" w:hAnsi="Calibri"/>
                <w:color w:val="0A1628"/>
                <w:sz w:val="21"/>
              </w:rPr>
              <w:t xml:space="preserve">     headers: { 'Content-Type': 'application/json' },</w:t>
            </w:r>
          </w:p>
          <w:p>
            <w:pPr>
              <w:spacing w:after="40"/>
            </w:pPr>
            <w:r>
              <w:rPr>
                <w:rFonts w:ascii="Calibri" w:hAnsi="Calibri"/>
                <w:color w:val="0A1628"/>
                <w:sz w:val="21"/>
              </w:rPr>
              <w:t xml:space="preserve">     body: JSON.stringify(form),</w:t>
            </w:r>
          </w:p>
          <w:p>
            <w:pPr>
              <w:spacing w:after="40"/>
            </w:pPr>
            <w:r>
              <w:rPr>
                <w:rFonts w:ascii="Calibri" w:hAnsi="Calibri"/>
                <w:color w:val="0A1628"/>
                <w:sz w:val="21"/>
              </w:rPr>
              <w:t xml:space="preserve">   });</w:t>
            </w:r>
          </w:p>
          <w:p>
            <w:pPr>
              <w:spacing w:after="40"/>
            </w:pPr>
            <w:r>
              <w:rPr>
                <w:rFonts w:ascii="Calibri" w:hAnsi="Calibri"/>
                <w:color w:val="0A1628"/>
                <w:sz w:val="21"/>
              </w:rPr>
              <w:t xml:space="preserve">   if (res.ok) { setSubmitted(true); }</w:t>
            </w:r>
          </w:p>
          <w:p>
            <w:pPr>
              <w:spacing w:after="40"/>
            </w:pPr>
            <w:r>
              <w:rPr>
                <w:rFonts w:ascii="Calibri" w:hAnsi="Calibri"/>
                <w:color w:val="0A1628"/>
                <w:sz w:val="21"/>
              </w:rPr>
              <w:t>3. The success state is already designed — no UI changes needed.</w:t>
            </w:r>
          </w:p>
        </w:tc>
      </w:tr>
    </w:tbl>
    <w:p/>
    <w:p>
      <w:pPr>
        <w:spacing w:before="360" w:after="120"/>
        <w:jc w:val="left"/>
        <w:pBdr>
          <w:bottom w:val="single" w:sz="6" w:space="2" w:color="1B4FD8"/>
        </w:pBdr>
      </w:pPr>
      <w:r>
        <w:rPr>
          <w:rFonts w:ascii="Calibri" w:hAnsi="Calibri"/>
          <w:b/>
          <w:color w:val="0A1628"/>
          <w:sz w:val="36"/>
        </w:rPr>
        <w:t>Summary</w:t>
      </w:r>
    </w:p>
    <w:p>
      <w:pPr>
        <w:spacing w:before="0" w:after="100"/>
      </w:pPr>
      <w:r>
        <w:rPr>
          <w:rFonts w:ascii="Calibri" w:hAnsi="Calibri"/>
          <w:sz w:val="22"/>
        </w:rPr>
        <w:t>FinAccSolutions has a legitimately strong service offering and a well-built website foundation. The critical gap is that the content, SEO infrastructure, and lead capture mechanics are not yet production-ready. The five Week 1 fixes alone will transform the site from one that could actively harm credibility into one that can begin converting visitors into leads.</w:t>
      </w:r>
    </w:p>
    <w:p>
      <w:pPr>
        <w:spacing w:before="0" w:after="100"/>
      </w:pPr>
      <w:r>
        <w:rPr>
          <w:rFonts w:ascii="Calibri" w:hAnsi="Calibri"/>
          <w:sz w:val="22"/>
        </w:rPr>
        <w:t>The medium-term opportunity — owning the IFRS consolidation niche, capturing displaced Bench clients, and marketing the cost arbitrage advantage — is a genuine market gap that no major competitor is currently filling online. FinAccSolutions is well-positioned to move quickly and build durable organic traffic authority in these areas.</w:t>
      </w:r>
    </w:p>
    <w:p>
      <w:pPr>
        <w:spacing w:before="0" w:after="100"/>
      </w:pPr>
      <w:r>
        <w:rPr>
          <w:rFonts w:ascii="Calibri" w:hAnsi="Calibri"/>
          <w:sz w:val="22"/>
        </w:rPr>
        <w:t>This report will be revisited and updated as each phase is completed. Start with Week 1 and work forward systematically.</w:t>
      </w:r>
    </w:p>
    <w:p>
      <w:pPr>
        <w:spacing w:before="0" w:after="100"/>
      </w:pPr>
      <w:r>
        <w:rPr>
          <w:rFonts w:ascii="Calibri" w:hAnsi="Calibri"/>
          <w:color w:val="64748B"/>
          <w:sz w:val="22"/>
        </w:rPr>
        <w:br/>
        <w:t>Prepared by: Strategic Audit — May 2026</w:t>
      </w:r>
    </w:p>
    <w:p>
      <w:pPr>
        <w:spacing w:before="0" w:after="100"/>
      </w:pPr>
      <w:r>
        <w:rPr>
          <w:rFonts w:ascii="Calibri" w:hAnsi="Calibri"/>
          <w:color w:val="64748B"/>
          <w:sz w:val="22"/>
        </w:rPr>
        <w:t>For: FinAccSolutions | finaccsolutions.com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