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left"/>
      </w:pPr>
      <w:r>
        <w:rPr>
          <w:rFonts w:ascii="Arial" w:hAnsi="Arial"/>
          <w:b/>
          <w:color w:val="1B4FD8"/>
          <w:sz w:val="22"/>
        </w:rPr>
        <w:t>FinAccSolutions</w:t>
      </w:r>
    </w:p>
    <w:p>
      <w:pPr>
        <w:spacing w:before="0" w:after="720"/>
        <w:pBdr>
          <w:bottom w:val="single" w:sz="6" w:space="4" w:color="1B4FD8"/>
        </w:pBdr>
      </w:pPr>
    </w:p>
    <w:p>
      <w:pPr>
        <w:spacing w:before="0" w:after="240"/>
        <w:jc w:val="left"/>
      </w:pPr>
      <w:r>
        <w:rPr>
          <w:rFonts w:ascii="Arial" w:hAnsi="Arial"/>
          <w:b/>
          <w:color w:val="0A1628"/>
          <w:sz w:val="64"/>
        </w:rPr>
        <w:t>Marketing Campaign Plan</w:t>
      </w:r>
    </w:p>
    <w:p>
      <w:pPr>
        <w:spacing w:after="80"/>
        <w:jc w:val="left"/>
      </w:pPr>
      <w:r>
        <w:rPr>
          <w:rFonts w:ascii="Arial" w:hAnsi="Arial"/>
          <w:color w:val="64748B"/>
          <w:sz w:val="28"/>
        </w:rPr>
        <w:t>FinAccSolutions — 90-Day Organic Growth &amp; Lead Generation Strategy</w:t>
      </w:r>
    </w:p>
    <w:p>
      <w:pPr>
        <w:spacing w:after="1600"/>
      </w:pPr>
      <w:r>
        <w:rPr>
          <w:rFonts w:ascii="Arial" w:hAnsi="Arial"/>
          <w:color w:val="64748B"/>
          <w:sz w:val="22"/>
        </w:rPr>
        <w:t>May 2026</w:t>
      </w: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1. Campaign Overview &amp; Objectives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This 90-day plan is designed to generate qualified inbound leads for FinAccSolutions through three compounding channels: SEO-optimised content marketing, LinkedIn thought leadership, and conversion-rate optimisation on the website. All three channels reinforce each other and build toward a sustainable organic acquisition engine.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Success Metric</w:t>
            </w:r>
          </w:p>
        </w:tc>
        <w:tc>
          <w:tcPr>
            <w:tcW w:type="dxa" w:w="2928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30-Day / 90-Day Target</w:t>
            </w:r>
          </w:p>
        </w:tc>
      </w:tr>
      <w:tr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9"/>
              </w:rPr>
              <w:t>Drive qualified inbound enquiries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9"/>
              </w:rPr>
              <w:t>Contact form submissions (Supabase leads)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9"/>
              </w:rPr>
              <w:t>5 leads/mo → 15 leads/mo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Build organic search visibility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Organic search impressions (Google Search Console)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500 impressions/mo → 3,000/mo</w:t>
            </w:r>
          </w:p>
        </w:tc>
      </w:tr>
      <w:tr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9"/>
              </w:rPr>
              <w:t>Establish LinkedIn authority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9"/>
              </w:rPr>
              <w:t>LinkedIn post impressions + profile views</w:t>
            </w:r>
          </w:p>
        </w:tc>
        <w:tc>
          <w:tcPr>
            <w:tcW w:type="dxa" w:w="2928"/>
            <w:shd w:val="clear" w:color="auto" w:fill="F8FAFF"/>
          </w:tcPr>
          <w:p>
            <w:r>
              <w:rPr>
                <w:rFonts w:ascii="Arial" w:hAnsi="Arial"/>
                <w:sz w:val="19"/>
              </w:rPr>
              <w:t>500 reach → 5,000 reach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Grow blog readership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Blog page sessions (Google Analytics)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0 → 500 sessions/mo</w:t>
            </w:r>
          </w:p>
        </w:tc>
      </w:tr>
    </w:tbl>
    <w:p>
      <w:pPr>
        <w:spacing w:before="0" w:after="240"/>
      </w:pP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2. Target Audience Segments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Three primary segments — each with distinct needs, content preferences, and conversion triggers:</w:t>
      </w:r>
    </w:p>
    <w:p>
      <w:pPr>
        <w:spacing w:before="320" w:after="120"/>
      </w:pPr>
      <w:r>
        <w:rPr>
          <w:rFonts w:ascii="Arial" w:hAnsi="Arial"/>
          <w:b/>
          <w:color w:val="1B4FD8"/>
          <w:sz w:val="26"/>
        </w:rPr>
        <w:t>Segment A — The Growth-Stage Founder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Founder or CEO of a startup or scale-up (£1M–£10M revenue). Pre-Series A or post-Seed. Has outgrown basic bookkeeping but can't yet afford a full-time CFO. Likely fundraising in the next 6-18 months.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Pain Points</w:t>
            </w:r>
          </w:p>
        </w:tc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Content Hooks</w:t>
            </w:r>
          </w:p>
        </w:tc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CTA / Channels</w:t>
            </w:r>
          </w:p>
        </w:tc>
      </w:tr>
      <w:tr>
        <w:tc>
          <w:tcPr>
            <w:tcW w:type="dxa" w:w="2928"/>
            <w:shd w:val="clear" w:color="auto" w:fill="F8FAFF"/>
          </w:tcPr>
          <w:p/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Financial models aren't investor-ready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Bookkeeping is chaotic and last-minute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Can't afford a full-time CFO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No IFRS/GAAP-compliant reporting</w:t>
            </w:r>
          </w:p>
        </w:tc>
        <w:tc>
          <w:tcPr>
            <w:tcW w:type="dxa" w:w="2928"/>
            <w:shd w:val="clear" w:color="auto" w:fill="F8FAFF"/>
          </w:tcPr>
          <w:p/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'How to Build an Investor-Ready Financial Model'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'What Investors Actually Look for in Your Financials'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'How We Helped a Startup Close a £2.1M Round in 8 Weeks'</w:t>
            </w:r>
          </w:p>
        </w:tc>
        <w:tc>
          <w:tcPr>
            <w:tcW w:type="dxa" w:w="2928"/>
            <w:shd w:val="clear" w:color="auto" w:fill="F8FAFF"/>
          </w:tcPr>
          <w:p/>
          <w:p>
            <w:r>
              <w:rPr>
                <w:rFonts w:ascii="Arial" w:hAnsi="Arial"/>
                <w:b/>
                <w:color w:val="1B4FD8"/>
                <w:sz w:val="18"/>
              </w:rPr>
              <w:t xml:space="preserve">CTA: </w:t>
            </w:r>
            <w:r>
              <w:rPr>
                <w:rFonts w:ascii="Arial" w:hAnsi="Arial"/>
                <w:sz w:val="18"/>
              </w:rPr>
              <w:t>Book a Fundraising Readiness Call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Channels: </w:t>
            </w:r>
            <w:r>
              <w:rPr>
                <w:rFonts w:ascii="Arial" w:hAnsi="Arial"/>
                <w:i/>
                <w:sz w:val="18"/>
              </w:rPr>
              <w:t>LinkedIn (founder communities), Google Search ('financial model for fundraising'), Blog</w:t>
            </w:r>
          </w:p>
        </w:tc>
      </w:tr>
    </w:tbl>
    <w:p>
      <w:pPr>
        <w:spacing w:before="0" w:after="200"/>
      </w:pPr>
    </w:p>
    <w:p>
      <w:pPr>
        <w:spacing w:before="320" w:after="120"/>
      </w:pPr>
      <w:r>
        <w:rPr>
          <w:rFonts w:ascii="Arial" w:hAnsi="Arial"/>
          <w:b/>
          <w:color w:val="1B4FD8"/>
          <w:sz w:val="26"/>
        </w:rPr>
        <w:t>Segment B — The Multi-Entity CFO / Finance Director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CFO, Finance Director, or Head of Finance at a group holding company or multi-entity structure. Manages 3-10 legal entities. Struggling with manual consolidation processes. Typically UK, UAE, or internationally-based.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Pain Points</w:t>
            </w:r>
          </w:p>
        </w:tc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Content Hooks</w:t>
            </w:r>
          </w:p>
        </w:tc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CTA / Channels</w:t>
            </w:r>
          </w:p>
        </w:tc>
      </w:tr>
      <w:tr>
        <w:tc>
          <w:tcPr>
            <w:tcW w:type="dxa" w:w="2928"/>
            <w:shd w:val="clear" w:color="auto" w:fill="F8FAFF"/>
          </w:tcPr>
          <w:p/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Monthly close takes 2-3 weeks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Intercompany eliminations are error-prone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Existing team lacks IFRS 10 / consolidation software expertise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External consultant fees are prohibitive</w:t>
            </w:r>
          </w:p>
        </w:tc>
        <w:tc>
          <w:tcPr>
            <w:tcW w:type="dxa" w:w="2928"/>
            <w:shd w:val="clear" w:color="auto" w:fill="F8FAFF"/>
          </w:tcPr>
          <w:p/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'How to Cut Your Group Close Cycle from 21 Days to 5'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'LucaNet vs SAP BPC vs OneStream: Which Consolidation Tool Is Right for You?'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'IFRS 10 Intercompany Elimination: A Practical Guide'</w:t>
            </w:r>
          </w:p>
        </w:tc>
        <w:tc>
          <w:tcPr>
            <w:tcW w:type="dxa" w:w="2928"/>
            <w:shd w:val="clear" w:color="auto" w:fill="F8FAFF"/>
          </w:tcPr>
          <w:p/>
          <w:p>
            <w:r>
              <w:rPr>
                <w:rFonts w:ascii="Arial" w:hAnsi="Arial"/>
                <w:b/>
                <w:color w:val="1B4FD8"/>
                <w:sz w:val="18"/>
              </w:rPr>
              <w:t xml:space="preserve">CTA: </w:t>
            </w:r>
            <w:r>
              <w:rPr>
                <w:rFonts w:ascii="Arial" w:hAnsi="Arial"/>
                <w:sz w:val="18"/>
              </w:rPr>
              <w:t>Request a Consolidation Assessment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Channels: </w:t>
            </w:r>
            <w:r>
              <w:rPr>
                <w:rFonts w:ascii="Arial" w:hAnsi="Arial"/>
                <w:i/>
                <w:sz w:val="18"/>
              </w:rPr>
              <w:t>LinkedIn (Finance Director audience), Google Search ('IFRS 10 consolidation service'), Blog, direct outreach</w:t>
            </w:r>
          </w:p>
        </w:tc>
      </w:tr>
    </w:tbl>
    <w:p>
      <w:pPr>
        <w:spacing w:before="0" w:after="200"/>
      </w:pPr>
    </w:p>
    <w:p>
      <w:pPr>
        <w:spacing w:before="320" w:after="120"/>
      </w:pPr>
      <w:r>
        <w:rPr>
          <w:rFonts w:ascii="Arial" w:hAnsi="Arial"/>
          <w:b/>
          <w:color w:val="1B4FD8"/>
          <w:sz w:val="26"/>
        </w:rPr>
        <w:t>Segment C — The Cost-Conscious Operations/Finance Lead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Operations Director, Finance Manager, or business owner at an SME (£500K–£5M revenue). Currently using a local accountant or part-time bookkeeper. Wants higher quality at lower cost. Primarily UK/US market.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Pain Points</w:t>
            </w:r>
          </w:p>
        </w:tc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Content Hooks</w:t>
            </w:r>
          </w:p>
        </w:tc>
        <w:tc>
          <w:tcPr>
            <w:tcW w:type="dxa" w:w="2928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CTA / Channels</w:t>
            </w:r>
          </w:p>
        </w:tc>
      </w:tr>
      <w:tr>
        <w:tc>
          <w:tcPr>
            <w:tcW w:type="dxa" w:w="2928"/>
            <w:shd w:val="clear" w:color="auto" w:fill="F8FAFF"/>
          </w:tcPr>
          <w:p/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Local bookkeeper is expensive and inconsistent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Payroll runs late or has errors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No time for forecasting or KPI tracking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Finance overhead growing as headcount scales</w:t>
            </w:r>
          </w:p>
        </w:tc>
        <w:tc>
          <w:tcPr>
            <w:tcW w:type="dxa" w:w="2928"/>
            <w:shd w:val="clear" w:color="auto" w:fill="F8FAFF"/>
          </w:tcPr>
          <w:p/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'Offshore Bookkeeper vs Local Accountant: The Real Cost Comparison'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'5 Signs You've Outgrown Your Current Bookkeeper'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• 'How to Save £30,000 a Year on Your Finance Function'</w:t>
            </w:r>
          </w:p>
        </w:tc>
        <w:tc>
          <w:tcPr>
            <w:tcW w:type="dxa" w:w="2928"/>
            <w:shd w:val="clear" w:color="auto" w:fill="F8FAFF"/>
          </w:tcPr>
          <w:p/>
          <w:p>
            <w:r>
              <w:rPr>
                <w:rFonts w:ascii="Arial" w:hAnsi="Arial"/>
                <w:b/>
                <w:color w:val="1B4FD8"/>
                <w:sz w:val="18"/>
              </w:rPr>
              <w:t xml:space="preserve">CTA: </w:t>
            </w:r>
            <w:r>
              <w:rPr>
                <w:rFonts w:ascii="Arial" w:hAnsi="Arial"/>
                <w:sz w:val="18"/>
              </w:rPr>
              <w:t>Get Your Free Finance Function Audit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Channels: </w:t>
            </w:r>
            <w:r>
              <w:rPr>
                <w:rFonts w:ascii="Arial" w:hAnsi="Arial"/>
                <w:i/>
                <w:sz w:val="18"/>
              </w:rPr>
              <w:t>Google Search ('outsourced bookkeeping UK'), Facebook/LinkedIn, Blog, referrals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3. Channel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Channel 1: SEO Content Marketing (Blog)</w:t>
            </w:r>
          </w:p>
        </w:tc>
        <w:tc>
          <w:tcPr>
            <w:tcW w:type="dxa" w:w="4392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</w:t>
            </w:r>
          </w:p>
        </w:tc>
      </w:tr>
    </w:tbl>
    <w:p>
      <w:pPr>
        <w:spacing w:before="80"/>
        <w:ind w:left="144"/>
      </w:pPr>
      <w:r>
        <w:rPr>
          <w:rFonts w:ascii="Arial" w:hAnsi="Arial"/>
          <w:b/>
          <w:color w:val="0A1628"/>
          <w:sz w:val="20"/>
        </w:rPr>
        <w:t xml:space="preserve">Why: </w:t>
      </w:r>
      <w:r>
        <w:rPr>
          <w:rFonts w:ascii="Arial" w:hAnsi="Arial"/>
          <w:i/>
          <w:sz w:val="20"/>
        </w:rPr>
        <w:t>The highest ROI channel for a service business with a specific niche. IFRS consolidation, fundraising models, and offshore accounting are low-competition, high-intent keyword clusters. Blog content written now will generate leads for 2-3 years.</w:t>
      </w:r>
    </w:p>
    <w:p>
      <w:pPr>
        <w:spacing w:before="80" w:after="40"/>
      </w:pPr>
      <w:r>
        <w:rPr>
          <w:rFonts w:ascii="Arial" w:hAnsi="Arial"/>
          <w:b/>
          <w:sz w:val="20"/>
        </w:rPr>
        <w:t>Tactics: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Publish 2 blog posts per month (8 over 90 days)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Each post targets a specific long-tail keyword with commercial intent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Every post ends with a context-specific CTA (e.g., consolidation post → 'Book a Consolidation Assessment')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Include structured data (Article schema) for rich snippets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Internally link between related posts and service pages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Repurpose each blog post as 3 LinkedIn posts</w:t>
      </w:r>
    </w:p>
    <w:p>
      <w:pPr>
        <w:spacing w:before="80" w:after="40"/>
      </w:pPr>
      <w:r>
        <w:rPr>
          <w:rFonts w:ascii="Arial" w:hAnsi="Arial"/>
          <w:b/>
          <w:color w:val="1B4FD8"/>
          <w:sz w:val="20"/>
        </w:rPr>
        <w:t xml:space="preserve">KPIs: </w:t>
      </w:r>
      <w:r>
        <w:rPr>
          <w:rFonts w:ascii="Arial" w:hAnsi="Arial"/>
          <w:sz w:val="20"/>
        </w:rPr>
        <w:t>Google Search Console impressions · Blog session volume · Contact form submissions attributed to blog</w:t>
      </w:r>
    </w:p>
    <w:p>
      <w:pPr>
        <w:spacing w:before="40"/>
      </w:pPr>
      <w:r>
        <w:rPr>
          <w:rFonts w:ascii="Arial" w:hAnsi="Arial"/>
          <w:b/>
          <w:color w:val="64748B"/>
          <w:sz w:val="20"/>
        </w:rPr>
        <w:t xml:space="preserve">Resources: </w:t>
      </w:r>
      <w:r>
        <w:rPr>
          <w:rFonts w:ascii="Arial" w:hAnsi="Arial"/>
          <w:sz w:val="20"/>
        </w:rPr>
        <w:t>1 blog post takes 3-4 hours to research and write. The admin panel is already built — posts can be published directly.</w:t>
      </w:r>
    </w:p>
    <w:p>
      <w:pPr>
        <w:spacing w:before="0" w:after="2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Channel 2: LinkedIn Organic (Company Page + Personal Brand)</w:t>
            </w:r>
          </w:p>
        </w:tc>
        <w:tc>
          <w:tcPr>
            <w:tcW w:type="dxa" w:w="4392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</w:t>
            </w:r>
          </w:p>
        </w:tc>
      </w:tr>
    </w:tbl>
    <w:p>
      <w:pPr>
        <w:spacing w:before="80"/>
        <w:ind w:left="144"/>
      </w:pPr>
      <w:r>
        <w:rPr>
          <w:rFonts w:ascii="Arial" w:hAnsi="Arial"/>
          <w:b/>
          <w:color w:val="0A1628"/>
          <w:sz w:val="20"/>
        </w:rPr>
        <w:t xml:space="preserve">Why: </w:t>
      </w:r>
      <w:r>
        <w:rPr>
          <w:rFonts w:ascii="Arial" w:hAnsi="Arial"/>
          <w:i/>
          <w:sz w:val="20"/>
        </w:rPr>
        <w:t>LinkedIn is the highest-converting B2B social channel for finance services. CFOs, FDs, and founders actively seek finance expertise here. A personal brand from the founder/team amplifies reach dramatically vs. a company page alone.</w:t>
      </w:r>
    </w:p>
    <w:p>
      <w:pPr>
        <w:spacing w:before="80" w:after="40"/>
      </w:pPr>
      <w:r>
        <w:rPr>
          <w:rFonts w:ascii="Arial" w:hAnsi="Arial"/>
          <w:b/>
          <w:sz w:val="20"/>
        </w:rPr>
        <w:t>Tactics: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Post 3x per week on the company LinkedIn page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Mix: 40% educational (finance tips), 30% social proof (case study snippets), 20% behind-the-scenes (team, credentials), 10% direct offer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Founder personal account posts 2x per week — same content repurposed with personal voice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Engage in CFO/Finance Director LinkedIn groups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Comment thoughtfully on posts from target audience accounts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Use LinkedIn polls to generate engagement (e.g., 'How long does your monthly close take?')</w:t>
      </w:r>
    </w:p>
    <w:p>
      <w:pPr>
        <w:spacing w:before="80" w:after="40"/>
      </w:pPr>
      <w:r>
        <w:rPr>
          <w:rFonts w:ascii="Arial" w:hAnsi="Arial"/>
          <w:b/>
          <w:color w:val="1B4FD8"/>
          <w:sz w:val="20"/>
        </w:rPr>
        <w:t xml:space="preserve">KPIs: </w:t>
      </w:r>
      <w:r>
        <w:rPr>
          <w:rFonts w:ascii="Arial" w:hAnsi="Arial"/>
          <w:sz w:val="20"/>
        </w:rPr>
        <w:t>Impression count per post · Profile visits · Connection requests from target audience · DM enquiries</w:t>
      </w:r>
    </w:p>
    <w:p>
      <w:pPr>
        <w:spacing w:before="40"/>
      </w:pPr>
      <w:r>
        <w:rPr>
          <w:rFonts w:ascii="Arial" w:hAnsi="Arial"/>
          <w:b/>
          <w:color w:val="64748B"/>
          <w:sz w:val="20"/>
        </w:rPr>
        <w:t xml:space="preserve">Resources: </w:t>
      </w:r>
      <w:r>
        <w:rPr>
          <w:rFonts w:ascii="Arial" w:hAnsi="Arial"/>
          <w:sz w:val="20"/>
        </w:rPr>
        <w:t>30-45 minutes per day for posting + engagement. Batching content weekly recommended.</w:t>
      </w:r>
    </w:p>
    <w:p>
      <w:pPr>
        <w:spacing w:before="0" w:after="2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Channel 3: Website CRO (Conversion Rate Optimisation)</w:t>
            </w:r>
          </w:p>
        </w:tc>
        <w:tc>
          <w:tcPr>
            <w:tcW w:type="dxa" w:w="4392"/>
            <w:shd w:val="clear" w:color="auto" w:fill="64748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SECONDARY</w:t>
            </w:r>
          </w:p>
        </w:tc>
      </w:tr>
    </w:tbl>
    <w:p>
      <w:pPr>
        <w:spacing w:before="80"/>
        <w:ind w:left="144"/>
      </w:pPr>
      <w:r>
        <w:rPr>
          <w:rFonts w:ascii="Arial" w:hAnsi="Arial"/>
          <w:b/>
          <w:color w:val="0A1628"/>
          <w:sz w:val="20"/>
        </w:rPr>
        <w:t xml:space="preserve">Why: </w:t>
      </w:r>
      <w:r>
        <w:rPr>
          <w:rFonts w:ascii="Arial" w:hAnsi="Arial"/>
          <w:i/>
          <w:sz w:val="20"/>
        </w:rPr>
        <w:t>Traffic is useless without conversion. Several high-impact changes to the site will improve the percentage of visitors who become leads — without requiring more traffic.</w:t>
      </w:r>
    </w:p>
    <w:p>
      <w:pPr>
        <w:spacing w:before="80" w:after="40"/>
      </w:pPr>
      <w:r>
        <w:rPr>
          <w:rFonts w:ascii="Arial" w:hAnsi="Arial"/>
          <w:b/>
          <w:sz w:val="20"/>
        </w:rPr>
        <w:t>Tactics: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Add a 'Results' or 'Case Studies' section to the homepage (beyond testimonials)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Add a FAQ section addressing the most common objections (cost, quality, security)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Add a pricing-or-process section ('How It Works') to reduce uncertainty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Ensure every service page has a direct CTA anchored to the contact form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Add live chat or WhatsApp widget for immediate response option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A/B test hero headline: 'Accounting &amp; Finance, Done Right' vs. 'Big 4-Trained. Offshore Economics.'</w:t>
      </w:r>
    </w:p>
    <w:p>
      <w:pPr>
        <w:spacing w:before="80" w:after="40"/>
      </w:pPr>
      <w:r>
        <w:rPr>
          <w:rFonts w:ascii="Arial" w:hAnsi="Arial"/>
          <w:b/>
          <w:color w:val="1B4FD8"/>
          <w:sz w:val="20"/>
        </w:rPr>
        <w:t xml:space="preserve">KPIs: </w:t>
      </w:r>
      <w:r>
        <w:rPr>
          <w:rFonts w:ascii="Arial" w:hAnsi="Arial"/>
          <w:sz w:val="20"/>
        </w:rPr>
        <w:t>Contact form conversion rate (form submissions / unique visitors) · Time on page · Scroll depth on service sections</w:t>
      </w:r>
    </w:p>
    <w:p>
      <w:pPr>
        <w:spacing w:before="40"/>
      </w:pPr>
      <w:r>
        <w:rPr>
          <w:rFonts w:ascii="Arial" w:hAnsi="Arial"/>
          <w:b/>
          <w:color w:val="64748B"/>
          <w:sz w:val="20"/>
        </w:rPr>
        <w:t xml:space="preserve">Resources: </w:t>
      </w:r>
      <w:r>
        <w:rPr>
          <w:rFonts w:ascii="Arial" w:hAnsi="Arial"/>
          <w:sz w:val="20"/>
        </w:rPr>
        <w:t>One-time implementation work. Most changes are content additions to existing sections.</w:t>
      </w:r>
    </w:p>
    <w:p>
      <w:pPr>
        <w:spacing w:before="0" w:after="2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Channel 4: Email Nurture (Post-Enquiry)</w:t>
            </w:r>
          </w:p>
        </w:tc>
        <w:tc>
          <w:tcPr>
            <w:tcW w:type="dxa" w:w="4392"/>
            <w:shd w:val="clear" w:color="auto" w:fill="64748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SECONDARY</w:t>
            </w:r>
          </w:p>
        </w:tc>
      </w:tr>
    </w:tbl>
    <w:p>
      <w:pPr>
        <w:spacing w:before="80"/>
        <w:ind w:left="144"/>
      </w:pPr>
      <w:r>
        <w:rPr>
          <w:rFonts w:ascii="Arial" w:hAnsi="Arial"/>
          <w:b/>
          <w:color w:val="0A1628"/>
          <w:sz w:val="20"/>
        </w:rPr>
        <w:t xml:space="preserve">Why: </w:t>
      </w:r>
      <w:r>
        <w:rPr>
          <w:rFonts w:ascii="Arial" w:hAnsi="Arial"/>
          <w:i/>
          <w:sz w:val="20"/>
        </w:rPr>
        <w:t>Not every enquiry converts on first contact. A 3-email nurture sequence after a lead submits the contact form dramatically improves conversion to booked call.</w:t>
      </w:r>
    </w:p>
    <w:p>
      <w:pPr>
        <w:spacing w:before="80" w:after="40"/>
      </w:pPr>
      <w:r>
        <w:rPr>
          <w:rFonts w:ascii="Arial" w:hAnsi="Arial"/>
          <w:b/>
          <w:sz w:val="20"/>
        </w:rPr>
        <w:t>Tactics: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Email 1 (immediately after submission): Confirmation + 'What to expect' + one relevant case study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Email 2 (Day 3 if no call booked): Social proof email — 3 results metrics from case studies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Email 3 (Day 7 if no call booked): Low-friction CTA — 'No commitment, 15-minute intro call'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Build via Resend, Mailchimp, or integrate into Supabase → email flow</w:t>
      </w:r>
    </w:p>
    <w:p>
      <w:pPr>
        <w:spacing w:before="80" w:after="40"/>
      </w:pPr>
      <w:r>
        <w:rPr>
          <w:rFonts w:ascii="Arial" w:hAnsi="Arial"/>
          <w:b/>
          <w:color w:val="1B4FD8"/>
          <w:sz w:val="20"/>
        </w:rPr>
        <w:t xml:space="preserve">KPIs: </w:t>
      </w:r>
      <w:r>
        <w:rPr>
          <w:rFonts w:ascii="Arial" w:hAnsi="Arial"/>
          <w:sz w:val="20"/>
        </w:rPr>
        <w:t>Email open rate (target: 40%+) · Click-through rate · Lead-to-call conversion rate</w:t>
      </w:r>
    </w:p>
    <w:p>
      <w:pPr>
        <w:spacing w:before="40"/>
      </w:pPr>
      <w:r>
        <w:rPr>
          <w:rFonts w:ascii="Arial" w:hAnsi="Arial"/>
          <w:b/>
          <w:color w:val="64748B"/>
          <w:sz w:val="20"/>
        </w:rPr>
        <w:t xml:space="preserve">Resources: </w:t>
      </w:r>
      <w:r>
        <w:rPr>
          <w:rFonts w:ascii="Arial" w:hAnsi="Arial"/>
          <w:sz w:val="20"/>
        </w:rPr>
        <w:t>One-time build of 3 email templates. Integrate with contact form Supabase submission.</w:t>
      </w:r>
    </w:p>
    <w:p>
      <w:pPr>
        <w:spacing w:before="0" w:after="280"/>
      </w:pP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4. 90-Day Content Calendar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Week-by-week execution plan. Blog posts take priority — write them in batches of 2 every two weeks.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2196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Blog Post</w:t>
            </w:r>
          </w:p>
        </w:tc>
        <w:tc>
          <w:tcPr>
            <w:tcW w:type="dxa" w:w="2196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LinkedIn (3x)</w:t>
            </w:r>
          </w:p>
        </w:tc>
        <w:tc>
          <w:tcPr>
            <w:tcW w:type="dxa" w:w="2196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Web / Outreach</w:t>
            </w:r>
          </w:p>
        </w:tc>
      </w:tr>
      <w:tr>
        <w:tc>
          <w:tcPr>
            <w:tcW w:type="dxa" w:w="2196"/>
            <w:shd w:val="clear" w:color="auto" w:fill="E6F0E8"/>
          </w:tcPr>
          <w:p>
            <w:r>
              <w:rPr>
                <w:rFonts w:ascii="Arial" w:hAnsi="Arial"/>
                <w:b/>
                <w:sz w:val="18"/>
              </w:rPr>
              <w:t>Wk 1-2</w:t>
            </w:r>
          </w:p>
          <w:p>
            <w:r>
              <w:rPr>
                <w:rFonts w:ascii="Arial" w:hAnsi="Arial"/>
                <w:i/>
                <w:color w:val="64748B"/>
                <w:sz w:val="16"/>
              </w:rPr>
              <w:t>Foundation</w:t>
            </w:r>
          </w:p>
        </w:tc>
        <w:tc>
          <w:tcPr>
            <w:tcW w:type="dxa" w:w="2196"/>
            <w:shd w:val="clear" w:color="auto" w:fill="EBF0FB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Post 1: 'What Is IFRS 10 Group Consolidation? A Plain-English Guide'</w:t>
            </w:r>
          </w:p>
          <w:p>
            <w:r>
              <w:rPr>
                <w:rFonts w:ascii="Arial" w:hAnsi="Arial"/>
                <w:i/>
                <w:color w:val="64748B"/>
                <w:sz w:val="17"/>
              </w:rPr>
              <w:t>(Target: CFOs of holding groups. Keyword: 'IFRS 10 consolidation')</w:t>
            </w:r>
          </w:p>
        </w:tc>
        <w:tc>
          <w:tcPr>
            <w:tcW w:type="dxa" w:w="2196"/>
            <w:shd w:val="clear" w:color="auto" w:fill="EBF0FB"/>
          </w:tcPr>
          <w:p>
            <w:r>
              <w:rPr>
                <w:rFonts w:ascii="Arial" w:hAnsi="Arial"/>
                <w:sz w:val="17"/>
              </w:rPr>
              <w:t>3x posts: Introduce the brand, share the IFRS 10 blog post, post a result metric from the Northgate case study</w:t>
            </w:r>
          </w:p>
        </w:tc>
        <w:tc>
          <w:tcPr>
            <w:tcW w:type="dxa" w:w="2196"/>
            <w:shd w:val="clear" w:color="auto" w:fill="EBF0FB"/>
          </w:tcPr>
          <w:p>
            <w:r>
              <w:rPr>
                <w:rFonts w:ascii="Arial" w:hAnsi="Arial"/>
                <w:sz w:val="17"/>
              </w:rPr>
              <w:t>Setup: Google Search Console, Google Analytics 4, LinkedIn Company Page. Fix hero copy per Brand Review.</w:t>
            </w:r>
          </w:p>
        </w:tc>
      </w:tr>
      <w:tr>
        <w:tc>
          <w:tcPr>
            <w:tcW w:type="dxa" w:w="2196"/>
            <w:shd w:val="clear" w:color="auto" w:fill="E6F0E8"/>
          </w:tcPr>
          <w:p>
            <w:r>
              <w:rPr>
                <w:rFonts w:ascii="Arial" w:hAnsi="Arial"/>
                <w:b/>
                <w:sz w:val="18"/>
              </w:rPr>
              <w:t>Wk 3-4</w:t>
            </w:r>
          </w:p>
          <w:p>
            <w:r>
              <w:rPr>
                <w:rFonts w:ascii="Arial" w:hAnsi="Arial"/>
                <w:i/>
                <w:color w:val="64748B"/>
                <w:sz w:val="16"/>
              </w:rPr>
              <w:t>Foundation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Post 2: 'Big 4 Accountant vs. Offshore Accountant: What You Actually Get'</w:t>
            </w:r>
          </w:p>
          <w:p>
            <w:r>
              <w:rPr>
                <w:rFonts w:ascii="Arial" w:hAnsi="Arial"/>
                <w:i/>
                <w:color w:val="64748B"/>
                <w:sz w:val="17"/>
              </w:rPr>
              <w:t>(Target: SME owners. Keyword: 'offshore accountant quality')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3x posts: Blog repurpose, behind-the-scenes of the team/credentials, LinkedIn poll: 'How long does your monthly close take?'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CRO: Add 'How It Works' section to homepage. Add FAQ section addressing cost + quality objections.</w:t>
            </w:r>
          </w:p>
        </w:tc>
      </w:tr>
      <w:tr>
        <w:tc>
          <w:tcPr>
            <w:tcW w:type="dxa" w:w="2196"/>
            <w:shd w:val="clear" w:color="auto" w:fill="FEF3C7"/>
          </w:tcPr>
          <w:p>
            <w:r>
              <w:rPr>
                <w:rFonts w:ascii="Arial" w:hAnsi="Arial"/>
                <w:b/>
                <w:sz w:val="18"/>
              </w:rPr>
              <w:t>Wk 5-6</w:t>
            </w:r>
          </w:p>
          <w:p>
            <w:r>
              <w:rPr>
                <w:rFonts w:ascii="Arial" w:hAnsi="Arial"/>
                <w:i/>
                <w:color w:val="64748B"/>
                <w:sz w:val="16"/>
              </w:rPr>
              <w:t>Growth</w:t>
            </w:r>
          </w:p>
        </w:tc>
        <w:tc>
          <w:tcPr>
            <w:tcW w:type="dxa" w:w="2196"/>
            <w:shd w:val="clear" w:color="auto" w:fill="EBF0FB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Post 3: 'How to Build an Investor-Ready Financial Model (For Non-Finance Founders)'</w:t>
            </w:r>
          </w:p>
          <w:p>
            <w:r>
              <w:rPr>
                <w:rFonts w:ascii="Arial" w:hAnsi="Arial"/>
                <w:i/>
                <w:color w:val="64748B"/>
                <w:sz w:val="17"/>
              </w:rPr>
              <w:t>(Target: Pre-Series A founders. Keyword: 'investor-ready financial model')</w:t>
            </w:r>
          </w:p>
        </w:tc>
        <w:tc>
          <w:tcPr>
            <w:tcW w:type="dxa" w:w="2196"/>
            <w:shd w:val="clear" w:color="auto" w:fill="EBF0FB"/>
          </w:tcPr>
          <w:p>
            <w:r>
              <w:rPr>
                <w:rFonts w:ascii="Arial" w:hAnsi="Arial"/>
                <w:sz w:val="17"/>
              </w:rPr>
              <w:t>3x posts: Blog repurpose, founder story / origin of the business, share the financial model checklist</w:t>
            </w:r>
          </w:p>
        </w:tc>
        <w:tc>
          <w:tcPr>
            <w:tcW w:type="dxa" w:w="2196"/>
            <w:shd w:val="clear" w:color="auto" w:fill="EBF0FB"/>
          </w:tcPr>
          <w:p>
            <w:r>
              <w:rPr>
                <w:rFonts w:ascii="Arial" w:hAnsi="Arial"/>
                <w:sz w:val="17"/>
              </w:rPr>
              <w:t>Lead magnet: Create a downloadable 'Fundraising Financial Checklist' PDF. Add to blog post as content upgrade.</w:t>
            </w:r>
          </w:p>
        </w:tc>
      </w:tr>
      <w:tr>
        <w:tc>
          <w:tcPr>
            <w:tcW w:type="dxa" w:w="2196"/>
            <w:shd w:val="clear" w:color="auto" w:fill="FEF3C7"/>
          </w:tcPr>
          <w:p>
            <w:r>
              <w:rPr>
                <w:rFonts w:ascii="Arial" w:hAnsi="Arial"/>
                <w:b/>
                <w:sz w:val="18"/>
              </w:rPr>
              <w:t>Wk 7-8</w:t>
            </w:r>
          </w:p>
          <w:p>
            <w:r>
              <w:rPr>
                <w:rFonts w:ascii="Arial" w:hAnsi="Arial"/>
                <w:i/>
                <w:color w:val="64748B"/>
                <w:sz w:val="16"/>
              </w:rPr>
              <w:t>Growth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Post 4: 'Outsourced Bookkeeping UK: How to Find the Right Partner (Without Getting Burned)'</w:t>
            </w:r>
          </w:p>
          <w:p>
            <w:r>
              <w:rPr>
                <w:rFonts w:ascii="Arial" w:hAnsi="Arial"/>
                <w:i/>
                <w:color w:val="64748B"/>
                <w:sz w:val="17"/>
              </w:rPr>
              <w:t>(Target: UK SME owners. Keyword: 'outsourced bookkeeping UK')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3x posts: Blog repurpose, share a result metric (£38K annual savings), case study carousel post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Email: Draft the 3-email post-enquiry nurture sequence. Integrate with Supabase contact form.</w:t>
            </w:r>
          </w:p>
        </w:tc>
      </w:tr>
      <w:tr>
        <w:tc>
          <w:tcPr>
            <w:tcW w:type="dxa" w:w="2196"/>
            <w:shd w:val="clear" w:color="auto" w:fill="FEE2E2"/>
          </w:tcPr>
          <w:p>
            <w:r>
              <w:rPr>
                <w:rFonts w:ascii="Arial" w:hAnsi="Arial"/>
                <w:b/>
                <w:sz w:val="18"/>
              </w:rPr>
              <w:t>Wk 9-10</w:t>
            </w:r>
          </w:p>
          <w:p>
            <w:r>
              <w:rPr>
                <w:rFonts w:ascii="Arial" w:hAnsi="Arial"/>
                <w:i/>
                <w:color w:val="64748B"/>
                <w:sz w:val="16"/>
              </w:rPr>
              <w:t>Acceleration</w:t>
            </w:r>
          </w:p>
        </w:tc>
        <w:tc>
          <w:tcPr>
            <w:tcW w:type="dxa" w:w="2196"/>
            <w:shd w:val="clear" w:color="auto" w:fill="EBF0FB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Post 5: 'LucaNet vs SAP BPC vs Hyperion: Choosing a Consolidation Tool'</w:t>
            </w:r>
          </w:p>
          <w:p>
            <w:r>
              <w:rPr>
                <w:rFonts w:ascii="Arial" w:hAnsi="Arial"/>
                <w:i/>
                <w:color w:val="64748B"/>
                <w:sz w:val="17"/>
              </w:rPr>
              <w:t>(Target: Finance Directors. Keyword: 'best consolidation software')</w:t>
            </w:r>
          </w:p>
        </w:tc>
        <w:tc>
          <w:tcPr>
            <w:tcW w:type="dxa" w:w="2196"/>
            <w:shd w:val="clear" w:color="auto" w:fill="EBF0FB"/>
          </w:tcPr>
          <w:p>
            <w:r>
              <w:rPr>
                <w:rFonts w:ascii="Arial" w:hAnsi="Arial"/>
                <w:sz w:val="17"/>
              </w:rPr>
              <w:t>3x posts: Blog repurpose, testimonial highlight (James Morrison quote), LinkedIn article on consolidation trends</w:t>
            </w:r>
          </w:p>
        </w:tc>
        <w:tc>
          <w:tcPr>
            <w:tcW w:type="dxa" w:w="2196"/>
            <w:shd w:val="clear" w:color="auto" w:fill="EBF0FB"/>
          </w:tcPr>
          <w:p>
            <w:r>
              <w:rPr>
                <w:rFonts w:ascii="Arial" w:hAnsi="Arial"/>
                <w:sz w:val="17"/>
              </w:rPr>
              <w:t>Outreach: Identify 20 target CFOs/FDs on LinkedIn. Send personalised connection requests with a content-led opener.</w:t>
            </w:r>
          </w:p>
        </w:tc>
      </w:tr>
      <w:tr>
        <w:tc>
          <w:tcPr>
            <w:tcW w:type="dxa" w:w="2196"/>
            <w:shd w:val="clear" w:color="auto" w:fill="FEE2E2"/>
          </w:tcPr>
          <w:p>
            <w:r>
              <w:rPr>
                <w:rFonts w:ascii="Arial" w:hAnsi="Arial"/>
                <w:b/>
                <w:sz w:val="18"/>
              </w:rPr>
              <w:t>Wk 11-12</w:t>
            </w:r>
          </w:p>
          <w:p>
            <w:r>
              <w:rPr>
                <w:rFonts w:ascii="Arial" w:hAnsi="Arial"/>
                <w:i/>
                <w:color w:val="64748B"/>
                <w:sz w:val="16"/>
              </w:rPr>
              <w:t>Acceleration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Post 6: 'How to Run Payroll for a Remote International Team'</w:t>
            </w:r>
          </w:p>
          <w:p>
            <w:r>
              <w:rPr>
                <w:rFonts w:ascii="Arial" w:hAnsi="Arial"/>
                <w:i/>
                <w:color w:val="64748B"/>
                <w:sz w:val="17"/>
              </w:rPr>
              <w:t>(Target: remote-first companies. Keyword: 'international payroll service')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3x posts: Blog repurpose, payroll accuracy angle, repurpose David Chen testimonial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Review &amp; Optimise: Review Search Console for keyword rankings. Double down on posts gaining traction. Plan Q2 calendar.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5. SEO Keyword Targets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Prioritised by search intent (commercial &gt; informational) and competition level (low-medium = quick wins). FinAccSolutions should own pages for each of these.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Keyword</w:t>
            </w:r>
          </w:p>
        </w:tc>
        <w:tc>
          <w:tcPr>
            <w:tcW w:type="dxa" w:w="146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Intent</w:t>
            </w:r>
          </w:p>
        </w:tc>
        <w:tc>
          <w:tcPr>
            <w:tcW w:type="dxa" w:w="146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Difficulty</w:t>
            </w:r>
          </w:p>
        </w:tc>
        <w:tc>
          <w:tcPr>
            <w:tcW w:type="dxa" w:w="146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Est. Volume</w:t>
            </w:r>
          </w:p>
        </w:tc>
        <w:tc>
          <w:tcPr>
            <w:tcW w:type="dxa" w:w="146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464"/>
            <w:shd w:val="clear" w:color="auto" w:fill="1B4FD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IFRS 10 group consolidation service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Commercial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Low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50-200/mo</w:t>
            </w:r>
          </w:p>
        </w:tc>
        <w:tc>
          <w:tcPr>
            <w:tcW w:type="dxa" w:w="1464"/>
            <w:shd w:val="clear" w:color="auto" w:fill="EBF0FB"/>
          </w:tcPr>
          <w:p>
            <w:r>
              <w:rPr>
                <w:rFonts w:ascii="Arial" w:hAnsi="Arial"/>
                <w:b/>
                <w:color w:val="1B4FD8"/>
                <w:sz w:val="17"/>
              </w:rPr>
              <w:t>HIGH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Service page + Blog</w:t>
            </w:r>
          </w:p>
        </w:tc>
      </w:tr>
      <w:tr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offshore finance team UK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Commercial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Low-Med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100-500/mo</w:t>
            </w:r>
          </w:p>
        </w:tc>
        <w:tc>
          <w:tcPr>
            <w:tcW w:type="dxa" w:w="1464"/>
            <w:shd w:val="clear" w:color="auto" w:fill="EBF0FB"/>
          </w:tcPr>
          <w:p>
            <w:r>
              <w:rPr>
                <w:rFonts w:ascii="Arial" w:hAnsi="Arial"/>
                <w:b/>
                <w:color w:val="1B4FD8"/>
                <w:sz w:val="17"/>
              </w:rPr>
              <w:t>HIGH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Homepage + Landing page</w:t>
            </w:r>
          </w:p>
        </w:tc>
      </w:tr>
      <w:tr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outsourced bookkeeping UK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Commercial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1K-5K/mo</w:t>
            </w:r>
          </w:p>
        </w:tc>
        <w:tc>
          <w:tcPr>
            <w:tcW w:type="dxa" w:w="1464"/>
            <w:shd w:val="clear" w:color="auto" w:fill="EBF0FB"/>
          </w:tcPr>
          <w:p>
            <w:r>
              <w:rPr>
                <w:rFonts w:ascii="Arial" w:hAnsi="Arial"/>
                <w:b/>
                <w:color w:val="1B4FD8"/>
                <w:sz w:val="17"/>
              </w:rPr>
              <w:t>HIGH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Service page</w:t>
            </w:r>
          </w:p>
        </w:tc>
      </w:tr>
      <w:tr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offshore accountant Big 4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Commercial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Low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50-200/mo</w:t>
            </w:r>
          </w:p>
        </w:tc>
        <w:tc>
          <w:tcPr>
            <w:tcW w:type="dxa" w:w="1464"/>
            <w:shd w:val="clear" w:color="auto" w:fill="EBF0FB"/>
          </w:tcPr>
          <w:p>
            <w:r>
              <w:rPr>
                <w:rFonts w:ascii="Arial" w:hAnsi="Arial"/>
                <w:b/>
                <w:color w:val="1B4FD8"/>
                <w:sz w:val="17"/>
              </w:rPr>
              <w:t>HIGH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Homepage / Why Us</w:t>
            </w:r>
          </w:p>
        </w:tc>
      </w:tr>
      <w:tr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investor ready financial model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Commercial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500-2K/mo</w:t>
            </w:r>
          </w:p>
        </w:tc>
        <w:tc>
          <w:tcPr>
            <w:tcW w:type="dxa" w:w="1464"/>
            <w:shd w:val="clear" w:color="auto" w:fill="EBF0FB"/>
          </w:tcPr>
          <w:p>
            <w:r>
              <w:rPr>
                <w:rFonts w:ascii="Arial" w:hAnsi="Arial"/>
                <w:b/>
                <w:color w:val="1B4FD8"/>
                <w:sz w:val="17"/>
              </w:rPr>
              <w:t>HIGH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Blog post + Service page</w:t>
            </w:r>
          </w:p>
        </w:tc>
      </w:tr>
      <w:tr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IFRS 10 consolidation guide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Informational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Low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100-500/mo</w:t>
            </w:r>
          </w:p>
        </w:tc>
        <w:tc>
          <w:tcPr>
            <w:tcW w:type="dxa" w:w="1464"/>
            <w:shd w:val="clear" w:color="auto" w:fill="FEF3C7"/>
          </w:tcPr>
          <w:p>
            <w:r>
              <w:rPr>
                <w:rFonts w:ascii="Arial" w:hAnsi="Arial"/>
                <w:b/>
                <w:color w:val="D97706"/>
                <w:sz w:val="17"/>
              </w:rPr>
              <w:t>MEDIUM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Blog post</w:t>
            </w:r>
          </w:p>
        </w:tc>
      </w:tr>
      <w:tr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how to build financial model startup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Informational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500-2K/mo</w:t>
            </w:r>
          </w:p>
        </w:tc>
        <w:tc>
          <w:tcPr>
            <w:tcW w:type="dxa" w:w="1464"/>
            <w:shd w:val="clear" w:color="auto" w:fill="FEF3C7"/>
          </w:tcPr>
          <w:p>
            <w:r>
              <w:rPr>
                <w:rFonts w:ascii="Arial" w:hAnsi="Arial"/>
                <w:b/>
                <w:color w:val="D97706"/>
                <w:sz w:val="17"/>
              </w:rPr>
              <w:t>MEDIUM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Blog post</w:t>
            </w:r>
          </w:p>
        </w:tc>
      </w:tr>
      <w:tr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LucaNet vs SAP BPC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Informational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Low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50-200/mo</w:t>
            </w:r>
          </w:p>
        </w:tc>
        <w:tc>
          <w:tcPr>
            <w:tcW w:type="dxa" w:w="1464"/>
            <w:shd w:val="clear" w:color="auto" w:fill="FEF3C7"/>
          </w:tcPr>
          <w:p>
            <w:r>
              <w:rPr>
                <w:rFonts w:ascii="Arial" w:hAnsi="Arial"/>
                <w:b/>
                <w:color w:val="D97706"/>
                <w:sz w:val="17"/>
              </w:rPr>
              <w:t>MEDIUM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Blog post</w:t>
            </w:r>
          </w:p>
        </w:tc>
      </w:tr>
      <w:tr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group consolidation accounting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Informational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Low-Med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200-1K/mo</w:t>
            </w:r>
          </w:p>
        </w:tc>
        <w:tc>
          <w:tcPr>
            <w:tcW w:type="dxa" w:w="1464"/>
            <w:shd w:val="clear" w:color="auto" w:fill="FEF3C7"/>
          </w:tcPr>
          <w:p>
            <w:r>
              <w:rPr>
                <w:rFonts w:ascii="Arial" w:hAnsi="Arial"/>
                <w:b/>
                <w:color w:val="D97706"/>
                <w:sz w:val="17"/>
              </w:rPr>
              <w:t>MEDIUM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Blog post</w:t>
            </w:r>
          </w:p>
        </w:tc>
      </w:tr>
      <w:tr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outsourced CFO services UK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Commercial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200-1K/mo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b/>
                <w:color w:val="64748B"/>
                <w:sz w:val="17"/>
              </w:rPr>
              <w:t>LOW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Service page</w:t>
            </w:r>
          </w:p>
        </w:tc>
      </w:tr>
      <w:tr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payroll services for small business UK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Commercial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2K-10K/mo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b/>
                <w:color w:val="64748B"/>
                <w:sz w:val="17"/>
              </w:rPr>
              <w:t>LOW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sz w:val="17"/>
              </w:rPr>
              <w:t>Service page</w:t>
            </w:r>
          </w:p>
        </w:tc>
      </w:tr>
      <w:tr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b/>
                <w:color w:val="0A1628"/>
                <w:sz w:val="17"/>
              </w:rPr>
              <w:t>virtual bookkeeper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Commercial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5K-20K/mo</w:t>
            </w:r>
          </w:p>
        </w:tc>
        <w:tc>
          <w:tcPr>
            <w:tcW w:type="dxa" w:w="1464"/>
            <w:shd w:val="clear" w:color="auto" w:fill="F8FAFF"/>
          </w:tcPr>
          <w:p>
            <w:r>
              <w:rPr>
                <w:rFonts w:ascii="Arial" w:hAnsi="Arial"/>
                <w:b/>
                <w:color w:val="64748B"/>
                <w:sz w:val="17"/>
              </w:rPr>
              <w:t>LOW</w:t>
            </w:r>
          </w:p>
        </w:tc>
        <w:tc>
          <w:tcPr>
            <w:tcW w:type="dxa" w:w="1464"/>
            <w:shd w:val="clear" w:color="auto" w:fill="FFFFFF"/>
          </w:tcPr>
          <w:p>
            <w:r>
              <w:rPr>
                <w:rFonts w:ascii="Arial" w:hAnsi="Arial"/>
                <w:sz w:val="17"/>
              </w:rPr>
              <w:t>Landing page (long term)</w:t>
            </w:r>
          </w:p>
        </w:tc>
      </w:tr>
    </w:tbl>
    <w:p>
      <w:pPr>
        <w:spacing w:before="0" w:after="240"/>
      </w:pPr>
    </w:p>
    <w:p>
      <w:r>
        <w:br w:type="page"/>
      </w: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6. Budget &amp; Resource Allocation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This plan is designed to be executed on a lean budget — the primary investment is time, not media spend. The core acquisition engine (SEO + LinkedIn) is free. Paid channels are optional accelerators.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196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 Investment</w:t>
            </w:r>
          </w:p>
        </w:tc>
        <w:tc>
          <w:tcPr>
            <w:tcW w:type="dxa" w:w="2196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Estimated Cost</w:t>
            </w:r>
          </w:p>
        </w:tc>
        <w:tc>
          <w:tcPr>
            <w:tcW w:type="dxa" w:w="2196"/>
            <w:shd w:val="clear" w:color="auto" w:fill="0A162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ROI</w:t>
            </w:r>
          </w:p>
        </w:tc>
      </w:tr>
      <w:tr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b/>
                <w:sz w:val="18"/>
              </w:rPr>
              <w:t>Blog content (2 posts/month)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6-8 hrs/month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£0 (in-house) or £200-400/post outsourced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Primary lead source. 1 closed lead = 10-50x ROI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LinkedIn posting (3x/week)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45 min/day (batched)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£0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Brand awareness → inbound enquiries</w:t>
            </w:r>
          </w:p>
        </w:tc>
      </w:tr>
      <w:tr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b/>
                <w:sz w:val="18"/>
              </w:rPr>
              <w:t>Website CRO improvements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2-3 hrs one-time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£0 (already built)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Improves conversion of existing traffic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Email nurture sequence (3 emails)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4-6 hrs one-time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£0-29/mo (email platform)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Converts warm leads to booked calls</w:t>
            </w:r>
          </w:p>
        </w:tc>
      </w:tr>
      <w:tr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b/>
                <w:sz w:val="18"/>
              </w:rPr>
              <w:t>Google Search Console + GA4 setup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2 hrs one-time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£0 (free tools)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Enables data-driven optimisation</w:t>
            </w:r>
          </w:p>
        </w:tc>
      </w:tr>
      <w:tr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b/>
                <w:sz w:val="18"/>
              </w:rPr>
              <w:t>Optional: Google Ads (search)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 hrs setup + monthly review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£500-1,500/mo budget recommended</w:t>
            </w:r>
          </w:p>
        </w:tc>
        <w:tc>
          <w:tcPr>
            <w:tcW w:type="dxa" w:w="219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Accelerates lead flow for high-intent keywords</w:t>
            </w:r>
          </w:p>
        </w:tc>
      </w:tr>
      <w:tr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b/>
                <w:sz w:val="18"/>
              </w:rPr>
              <w:t>Optional: LinkedIn Ads (Sponsored content)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2 hrs setup + monthly review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£500-1,000/mo budget</w:t>
            </w:r>
          </w:p>
        </w:tc>
        <w:tc>
          <w:tcPr>
            <w:tcW w:type="dxa" w:w="2196"/>
            <w:shd w:val="clear" w:color="auto" w:fill="F8FAFF"/>
          </w:tcPr>
          <w:p>
            <w:r>
              <w:rPr>
                <w:rFonts w:ascii="Arial" w:hAnsi="Arial"/>
                <w:sz w:val="18"/>
              </w:rPr>
              <w:t>Amplifies posts to targeted CFO/FD audience</w:t>
            </w:r>
          </w:p>
        </w:tc>
      </w:tr>
    </w:tbl>
    <w:p>
      <w:pPr>
        <w:spacing w:before="0" w:after="240"/>
      </w:pP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7. Success Metrics &amp; Review Cadence</w:t>
      </w:r>
    </w:p>
    <w:p>
      <w:pPr>
        <w:spacing w:before="320" w:after="120"/>
      </w:pPr>
      <w:r>
        <w:rPr>
          <w:rFonts w:ascii="Arial" w:hAnsi="Arial"/>
          <w:b/>
          <w:color w:val="0A1628"/>
          <w:sz w:val="26"/>
        </w:rPr>
        <w:t>Weekly Check (15 minutes)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Number of contact form submissions in Supabase admin panel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LinkedIn post impressions and profile visit count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Any new DMs or enquiries from LinkedIn</w:t>
      </w:r>
    </w:p>
    <w:p>
      <w:pPr>
        <w:spacing w:before="320" w:after="120"/>
      </w:pPr>
      <w:r>
        <w:rPr>
          <w:rFonts w:ascii="Arial" w:hAnsi="Arial"/>
          <w:b/>
          <w:color w:val="0A1628"/>
          <w:sz w:val="26"/>
        </w:rPr>
        <w:t>Monthly Review (1 hour)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Google Search Console: keyword ranking progress, impression growth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Google Analytics 4: blog sessions, bounce rate, time on page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Supabase leads dashboard: total leads, conversion by service type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LinkedIn analytics: follower growth, top-performing post formats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Review and adjust next month's content calendar based on data</w:t>
      </w:r>
    </w:p>
    <w:p>
      <w:pPr>
        <w:spacing w:before="320" w:after="120"/>
      </w:pPr>
      <w:r>
        <w:rPr>
          <w:rFonts w:ascii="Arial" w:hAnsi="Arial"/>
          <w:b/>
          <w:color w:val="0A1628"/>
          <w:sz w:val="26"/>
        </w:rPr>
        <w:t>90-Day Review (Half-day)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Full funnel analysis: traffic → leads → calls booked → clients won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Identify top 3 performing blog posts and create follow-up content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Review which LinkedIn post formats drove the most enquiries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Decide whether to activate paid channels based on organic performance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Set targets for next 90 days (Q2 plan)</w:t>
      </w:r>
    </w:p>
    <w:p>
      <w:pPr>
        <w:spacing w:before="0" w:after="24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1B4FD8"/>
          <w:left w:val="single" w:sz="4" w:color="1B4FD8"/>
          <w:bottom w:val="single" w:sz="4" w:color="1B4FD8"/>
          <w:right w:val="single" w:sz="4" w:color="1B4FD8"/>
        </w:tblBorders>
      </w:tblPr>
      <w:tblGrid>
        <w:gridCol w:w="8784"/>
      </w:tblGrid>
      <w:tr>
        <w:tc>
          <w:tcPr>
            <w:tcW w:type="dxa" w:w="8784"/>
            <w:shd w:val="clear" w:color="auto" w:fill="EBF0FB"/>
          </w:tcPr>
          <w:p>
            <w:pPr>
              <w:spacing w:before="80" w:after="80"/>
            </w:pPr>
            <w:r>
              <w:rPr>
                <w:rFonts w:ascii="Arial" w:hAnsi="Arial"/>
                <w:i/>
                <w:color w:val="0A1628"/>
                <w:sz w:val="20"/>
              </w:rPr>
              <w:t>CRITICAL SUCCESS FACTOR: Consistency beats intensity. Two blog posts a month for 12 months will outperform a burst of 10 posts in one month. The algorithm rewards recency; the audience rewards reliability.</w:t>
            </w:r>
          </w:p>
        </w:tc>
      </w:tr>
    </w:tbl>
    <w:p>
      <w:pPr>
        <w:spacing w:after="0"/>
      </w:pPr>
    </w:p>
    <w:p>
      <w:pPr>
        <w:spacing w:before="0" w:after="240"/>
      </w:pPr>
    </w:p>
    <w:p>
      <w:pPr>
        <w:spacing w:before="480" w:after="160"/>
        <w:pBdr>
          <w:bottom w:val="single" w:sz="4" w:space="4" w:color="1B4FD8"/>
        </w:pBdr>
      </w:pPr>
      <w:r>
        <w:rPr>
          <w:rFonts w:ascii="Arial" w:hAnsi="Arial"/>
          <w:b/>
          <w:color w:val="0A1628"/>
          <w:sz w:val="36"/>
        </w:rPr>
        <w:t>8. Quick Wins — Do These First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These actions take less than 2 hours each and will have immediate impact: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05966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928"/>
            <w:shd w:val="clear" w:color="auto" w:fill="05966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928"/>
            <w:shd w:val="clear" w:color="auto" w:fill="05966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b/>
                <w:sz w:val="19"/>
              </w:rPr>
              <w:t>Apply Brand Review fixes to homepage copy</w:t>
            </w:r>
          </w:p>
        </w:tc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sz w:val="19"/>
              </w:rPr>
              <w:t>1 hour</w:t>
            </w:r>
          </w:p>
        </w:tc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sz w:val="19"/>
              </w:rPr>
              <w:t>Impacts every visitor immediately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Set up Google Search Console + submit sitemap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30 minutes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Begins indexing blog content</w:t>
            </w:r>
          </w:p>
        </w:tc>
      </w:tr>
      <w:tr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b/>
                <w:sz w:val="19"/>
              </w:rPr>
              <w:t>Set up Google Analytics 4</w:t>
            </w:r>
          </w:p>
        </w:tc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sz w:val="19"/>
              </w:rPr>
              <w:t>30 minutes</w:t>
            </w:r>
          </w:p>
        </w:tc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sz w:val="19"/>
              </w:rPr>
              <w:t>Enables conversion tracking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Create/optimise LinkedIn Company Page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45 minutes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Enables content distribution</w:t>
            </w:r>
          </w:p>
        </w:tc>
      </w:tr>
      <w:tr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b/>
                <w:sz w:val="19"/>
              </w:rPr>
              <w:t>Write and publish Blog Post 1 (IFRS 10 guide)</w:t>
            </w:r>
          </w:p>
        </w:tc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sz w:val="19"/>
              </w:rPr>
              <w:t>4 hours</w:t>
            </w:r>
          </w:p>
        </w:tc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sz w:val="19"/>
              </w:rPr>
              <w:t>First organic SEO signal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b/>
                <w:sz w:val="19"/>
              </w:rPr>
              <w:t>Run schema.sql in Supabase (database setup)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10 minutes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Enables contact form to capture leads</w:t>
            </w:r>
          </w:p>
        </w:tc>
      </w:tr>
      <w:tr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b/>
                <w:sz w:val="19"/>
              </w:rPr>
              <w:t>Create admin user in Supabase Auth</w:t>
            </w:r>
          </w:p>
        </w:tc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sz w:val="19"/>
              </w:rPr>
              <w:t>5 minutes</w:t>
            </w:r>
          </w:p>
        </w:tc>
        <w:tc>
          <w:tcPr>
            <w:tcW w:type="dxa" w:w="2928"/>
            <w:shd w:val="clear" w:color="auto" w:fill="E6F4EA"/>
          </w:tcPr>
          <w:p>
            <w:r>
              <w:rPr>
                <w:rFonts w:ascii="Arial" w:hAnsi="Arial"/>
                <w:sz w:val="19"/>
              </w:rPr>
              <w:t>Access to lead management dashboard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