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left"/>
      </w:pPr>
      <w:r>
        <w:rPr>
          <w:rFonts w:ascii="Arial" w:hAnsi="Arial"/>
          <w:b/>
          <w:color w:val="1B4FD8"/>
          <w:sz w:val="22"/>
        </w:rPr>
        <w:t>FinAccSolutions</w:t>
      </w:r>
    </w:p>
    <w:p>
      <w:pPr>
        <w:spacing w:before="0" w:after="720"/>
        <w:pBdr>
          <w:bottom w:val="single" w:sz="6" w:space="4" w:color="1B4FD8"/>
        </w:pBdr>
      </w:pPr>
    </w:p>
    <w:p>
      <w:pPr>
        <w:spacing w:before="0" w:after="240"/>
        <w:jc w:val="left"/>
      </w:pPr>
      <w:r>
        <w:rPr>
          <w:rFonts w:ascii="Arial" w:hAnsi="Arial"/>
          <w:b/>
          <w:color w:val="0A1628"/>
          <w:sz w:val="64"/>
        </w:rPr>
        <w:t>Competitive Brief</w:t>
      </w:r>
    </w:p>
    <w:p>
      <w:pPr>
        <w:spacing w:after="80"/>
        <w:jc w:val="left"/>
      </w:pPr>
      <w:r>
        <w:rPr>
          <w:rFonts w:ascii="Arial" w:hAnsi="Arial"/>
          <w:color w:val="64748B"/>
          <w:sz w:val="28"/>
        </w:rPr>
        <w:t>Finance Outsourcing &amp; Offshore Accounting Market — Positioning Analysis</w:t>
      </w:r>
    </w:p>
    <w:p>
      <w:pPr>
        <w:spacing w:after="1600"/>
      </w:pPr>
      <w:r>
        <w:rPr>
          <w:rFonts w:ascii="Arial" w:hAnsi="Arial"/>
          <w:color w:val="64748B"/>
          <w:sz w:val="22"/>
        </w:rPr>
        <w:t>May 2026</w:t>
      </w:r>
    </w:p>
    <w:p>
      <w:r>
        <w:br w:type="page"/>
      </w:r>
    </w:p>
    <w:p>
      <w:pPr>
        <w:spacing w:before="480" w:after="160"/>
        <w:pBdr>
          <w:bottom w:val="single" w:sz="4" w:space="4" w:color="1B4FD8"/>
        </w:pBdr>
      </w:pPr>
      <w:r>
        <w:rPr>
          <w:rFonts w:ascii="Arial" w:hAnsi="Arial"/>
          <w:b/>
          <w:color w:val="0A1628"/>
          <w:sz w:val="36"/>
        </w:rPr>
        <w:t>1. Market Overview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The global finance and accounting outsourcing (FAO) market is valued at approximately $60B and growing at ~7% CAGR. The offshore segment — particularly Pakistan, India, and Philippines-based providers serving UK, US, and Middle East businesses — is the fastest-growing sub-segment, driven by: (1) remote work normalisation post-2020, (2) pressure on finance cost structures, and (3) a growing shortage of qualified in-house accountants in Western markets.</w:t>
      </w:r>
    </w:p>
    <w:p>
      <w:pPr>
        <w:spacing w:before="0" w:after="120"/>
      </w:pP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FinAccSolutions sits at the intersection of three market categories: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Finance &amp; Accounting Outsourcing (FAO) — recurring bookkeeping, payroll, management accounts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Virtual Finance Talent — dedicated offshore accountants embedded in client teams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CFO Advisory / Financial Modelling — fundraising models, group consolidation, FP&amp;A</w:t>
      </w: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1B4FD8"/>
          <w:left w:val="single" w:sz="4" w:color="1B4FD8"/>
          <w:bottom w:val="single" w:sz="4" w:color="1B4FD8"/>
          <w:right w:val="single" w:sz="4" w:color="1B4FD8"/>
        </w:tblBorders>
      </w:tblPr>
      <w:tblGrid>
        <w:gridCol w:w="8784"/>
      </w:tblGrid>
      <w:tr>
        <w:tc>
          <w:tcPr>
            <w:tcW w:type="dxa" w:w="8784"/>
            <w:shd w:val="clear" w:color="auto" w:fill="EBF0FB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0A1628"/>
                <w:sz w:val="20"/>
              </w:rPr>
              <w:t>KEY OPPORTUNITY: Most competitors own one of these three categories. FinAccSolutions spans all three — a rare positioning advantage that is currently undercommunicated on the website and in marketing.</w:t>
            </w:r>
          </w:p>
        </w:tc>
      </w:tr>
    </w:tbl>
    <w:p>
      <w:pPr>
        <w:spacing w:after="0"/>
      </w:pPr>
    </w:p>
    <w:p>
      <w:pPr>
        <w:spacing w:before="0" w:after="240"/>
      </w:pPr>
    </w:p>
    <w:p>
      <w:r>
        <w:br w:type="page"/>
      </w:r>
    </w:p>
    <w:p>
      <w:pPr>
        <w:spacing w:before="480" w:after="160"/>
        <w:pBdr>
          <w:bottom w:val="single" w:sz="4" w:space="4" w:color="1B4FD8"/>
        </w:pBdr>
      </w:pPr>
      <w:r>
        <w:rPr>
          <w:rFonts w:ascii="Arial" w:hAnsi="Arial"/>
          <w:b/>
          <w:color w:val="0A1628"/>
          <w:sz w:val="36"/>
        </w:rPr>
        <w:t>2. Competitor Profiles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Key players are segmented into three competitive tiers based on overlap with FinAccSolutions' services.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Bench Accounting</w:t>
            </w:r>
          </w:p>
        </w:tc>
        <w:tc>
          <w:tcPr>
            <w:tcW w:type="dxa" w:w="2928"/>
            <w:shd w:val="clear" w:color="auto" w:fill="1B4FD8"/>
          </w:tcPr>
          <w:p>
            <w:r>
              <w:rPr>
                <w:rFonts w:ascii="Arial" w:hAnsi="Arial"/>
                <w:color w:val="FFFFFF"/>
                <w:sz w:val="18"/>
              </w:rPr>
              <w:t>Tier: Direct</w:t>
            </w:r>
          </w:p>
        </w:tc>
        <w:tc>
          <w:tcPr>
            <w:tcW w:type="dxa" w:w="2928"/>
            <w:shd w:val="clear" w:color="auto" w:fill="FEF3C7"/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Threat Level: Medium</w:t>
            </w:r>
          </w:p>
        </w:tc>
      </w:tr>
    </w:tbl>
    <w:p>
      <w:pPr>
        <w:spacing w:before="80"/>
        <w:ind w:left="144"/>
      </w:pPr>
      <w:r>
        <w:rPr>
          <w:rFonts w:ascii="Arial" w:hAnsi="Arial"/>
          <w:b/>
          <w:sz w:val="20"/>
        </w:rPr>
        <w:t xml:space="preserve">Positioning: </w:t>
      </w:r>
      <w:r>
        <w:rPr>
          <w:rFonts w:ascii="Arial" w:hAnsi="Arial"/>
          <w:i/>
          <w:sz w:val="20"/>
        </w:rPr>
        <w:t>The automated bookkeeping platform for small US businesses. Human bookkeepers + software.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6F0E8"/>
          </w:tcPr>
          <w:p>
            <w:r>
              <w:rPr>
                <w:rFonts w:ascii="Arial" w:hAnsi="Arial"/>
                <w:b/>
                <w:color w:val="059669"/>
                <w:sz w:val="18"/>
              </w:rPr>
              <w:t>Their Strengths</w:t>
            </w:r>
          </w:p>
        </w:tc>
        <w:tc>
          <w:tcPr>
            <w:tcW w:type="dxa" w:w="4392"/>
            <w:shd w:val="clear" w:color="auto" w:fill="FEE2E2"/>
          </w:tcPr>
          <w:p>
            <w:r>
              <w:rPr>
                <w:rFonts w:ascii="Arial" w:hAnsi="Arial"/>
                <w:b/>
                <w:color w:val="DC2626"/>
                <w:sz w:val="18"/>
              </w:rPr>
              <w:t>Their Weaknesses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  <w:t>+ Strong brand recognition in the US SME market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US-only focus — does not serve IFRS jurisdictions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  <w:t>+ Proprietary software platform gives scalability advantage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Software-first means less flexibility for complex needs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  <w:t>+ Flat monthly pricing is easy to compare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No group consolidation, no fundraising support, no payroll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  <w:t>+ Heavy content marketing — dominates 'small business bookkeeping' keywords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Does not offer dedicated talent / team augmentation</w:t>
            </w:r>
          </w:p>
        </w:tc>
      </w:tr>
    </w:tbl>
    <w:p>
      <w:pPr>
        <w:spacing w:before="120" w:after="320"/>
        <w:ind w:left="144"/>
      </w:pPr>
      <w:r>
        <w:rPr>
          <w:rFonts w:ascii="Arial" w:hAnsi="Arial"/>
          <w:b/>
          <w:color w:val="1B4FD8"/>
          <w:sz w:val="20"/>
        </w:rPr>
        <w:t xml:space="preserve">How to Win: </w:t>
      </w:r>
      <w:r>
        <w:rPr>
          <w:rFonts w:ascii="Arial" w:hAnsi="Arial"/>
          <w:sz w:val="20"/>
        </w:rPr>
        <w:t>Position against Bench on depth and international capability. Use messaging: 'Unlike software platforms, we handle the complexity Bench can't — IFRS consolidations, fundraising models, multi-currency groups.'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Pilot</w:t>
            </w:r>
          </w:p>
        </w:tc>
        <w:tc>
          <w:tcPr>
            <w:tcW w:type="dxa" w:w="2928"/>
            <w:shd w:val="clear" w:color="auto" w:fill="1B4FD8"/>
          </w:tcPr>
          <w:p>
            <w:r>
              <w:rPr>
                <w:rFonts w:ascii="Arial" w:hAnsi="Arial"/>
                <w:color w:val="FFFFFF"/>
                <w:sz w:val="18"/>
              </w:rPr>
              <w:t>Tier: Direct</w:t>
            </w:r>
          </w:p>
        </w:tc>
        <w:tc>
          <w:tcPr>
            <w:tcW w:type="dxa" w:w="2928"/>
            <w:shd w:val="clear" w:color="auto" w:fill="FEF3C7"/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Threat Level: Medium</w:t>
            </w:r>
          </w:p>
        </w:tc>
      </w:tr>
    </w:tbl>
    <w:p>
      <w:pPr>
        <w:spacing w:before="80"/>
        <w:ind w:left="144"/>
      </w:pPr>
      <w:r>
        <w:rPr>
          <w:rFonts w:ascii="Arial" w:hAnsi="Arial"/>
          <w:b/>
          <w:sz w:val="20"/>
        </w:rPr>
        <w:t xml:space="preserve">Positioning: </w:t>
      </w:r>
      <w:r>
        <w:rPr>
          <w:rFonts w:ascii="Arial" w:hAnsi="Arial"/>
          <w:i/>
          <w:sz w:val="20"/>
        </w:rPr>
        <w:t>Startup bookkeeping and CFO services backed by technology. Targets VC-backed US startups.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6F0E8"/>
          </w:tcPr>
          <w:p>
            <w:r>
              <w:rPr>
                <w:rFonts w:ascii="Arial" w:hAnsi="Arial"/>
                <w:b/>
                <w:color w:val="059669"/>
                <w:sz w:val="18"/>
              </w:rPr>
              <w:t>Their Strengths</w:t>
            </w:r>
          </w:p>
        </w:tc>
        <w:tc>
          <w:tcPr>
            <w:tcW w:type="dxa" w:w="4392"/>
            <w:shd w:val="clear" w:color="auto" w:fill="FEE2E2"/>
          </w:tcPr>
          <w:p>
            <w:r>
              <w:rPr>
                <w:rFonts w:ascii="Arial" w:hAnsi="Arial"/>
                <w:b/>
                <w:color w:val="DC2626"/>
                <w:sz w:val="18"/>
              </w:rPr>
              <w:t>Their Weaknesses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  <w:t>+ Strong startup ecosystem brand (Sequoia, a16z portfolio companies as clients)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Exclusively US GAAP — not suited for IFRS or international structures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  <w:t>+ Dedicated account managers plus software stack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Premium pricing model not suitable for cost-conscious SMEs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  <w:t>+ R&amp;D tax credit services create sticky upsell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Does not offer dedicated offshore talent placement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  <w:t>+ Well-funded — raised $100M+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No group consolidation or multi-entity services</w:t>
            </w:r>
          </w:p>
        </w:tc>
      </w:tr>
    </w:tbl>
    <w:p>
      <w:pPr>
        <w:spacing w:before="120" w:after="320"/>
        <w:ind w:left="144"/>
      </w:pPr>
      <w:r>
        <w:rPr>
          <w:rFonts w:ascii="Arial" w:hAnsi="Arial"/>
          <w:b/>
          <w:color w:val="1B4FD8"/>
          <w:sz w:val="20"/>
        </w:rPr>
        <w:t xml:space="preserve">How to Win: </w:t>
      </w:r>
      <w:r>
        <w:rPr>
          <w:rFonts w:ascii="Arial" w:hAnsi="Arial"/>
          <w:sz w:val="20"/>
        </w:rPr>
        <w:t>Compete on price and IFRS capability for international startups. Pilot serves US startups post-Series A. FinAccSolutions can own the international founder / Series A fundraise preparation niche.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Escalon Services</w:t>
            </w:r>
          </w:p>
        </w:tc>
        <w:tc>
          <w:tcPr>
            <w:tcW w:type="dxa" w:w="2928"/>
            <w:shd w:val="clear" w:color="auto" w:fill="1B4FD8"/>
          </w:tcPr>
          <w:p>
            <w:r>
              <w:rPr>
                <w:rFonts w:ascii="Arial" w:hAnsi="Arial"/>
                <w:color w:val="FFFFFF"/>
                <w:sz w:val="18"/>
              </w:rPr>
              <w:t>Tier: Direct</w:t>
            </w:r>
          </w:p>
        </w:tc>
        <w:tc>
          <w:tcPr>
            <w:tcW w:type="dxa" w:w="2928"/>
            <w:shd w:val="clear" w:color="auto" w:fill="FEF3C7"/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Threat Level: Medium</w:t>
            </w:r>
          </w:p>
        </w:tc>
      </w:tr>
    </w:tbl>
    <w:p>
      <w:pPr>
        <w:spacing w:before="80"/>
        <w:ind w:left="144"/>
      </w:pPr>
      <w:r>
        <w:rPr>
          <w:rFonts w:ascii="Arial" w:hAnsi="Arial"/>
          <w:b/>
          <w:sz w:val="20"/>
        </w:rPr>
        <w:t xml:space="preserve">Positioning: </w:t>
      </w:r>
      <w:r>
        <w:rPr>
          <w:rFonts w:ascii="Arial" w:hAnsi="Arial"/>
          <w:i/>
          <w:sz w:val="20"/>
        </w:rPr>
        <w:t>Full-stack back-office services for startups: accounting, CFO, payroll, HR, insurance.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6F0E8"/>
          </w:tcPr>
          <w:p>
            <w:r>
              <w:rPr>
                <w:rFonts w:ascii="Arial" w:hAnsi="Arial"/>
                <w:b/>
                <w:color w:val="059669"/>
                <w:sz w:val="18"/>
              </w:rPr>
              <w:t>Their Strengths</w:t>
            </w:r>
          </w:p>
        </w:tc>
        <w:tc>
          <w:tcPr>
            <w:tcW w:type="dxa" w:w="4392"/>
            <w:shd w:val="clear" w:color="auto" w:fill="FEE2E2"/>
          </w:tcPr>
          <w:p>
            <w:r>
              <w:rPr>
                <w:rFonts w:ascii="Arial" w:hAnsi="Arial"/>
                <w:b/>
                <w:color w:val="DC2626"/>
                <w:sz w:val="18"/>
              </w:rPr>
              <w:t>Their Weaknesses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  <w:t>+ Full-stack offering reduces vendor fatigue for startups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India-based delivery means some clients experience timezone challenges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  <w:t>+ Known brand in US startup ecosystem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Primarily US GAAP focused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  <w:t>+ Multiple service lines create high LTV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Not positioned for group consolidation or IFRS-complex entities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Bundled pricing can be hard to compare</w:t>
            </w:r>
          </w:p>
        </w:tc>
      </w:tr>
    </w:tbl>
    <w:p>
      <w:pPr>
        <w:spacing w:before="120" w:after="320"/>
        <w:ind w:left="144"/>
      </w:pPr>
      <w:r>
        <w:rPr>
          <w:rFonts w:ascii="Arial" w:hAnsi="Arial"/>
          <w:b/>
          <w:color w:val="1B4FD8"/>
          <w:sz w:val="20"/>
        </w:rPr>
        <w:t xml:space="preserve">How to Win: </w:t>
      </w:r>
      <w:r>
        <w:rPr>
          <w:rFonts w:ascii="Arial" w:hAnsi="Arial"/>
          <w:sz w:val="20"/>
        </w:rPr>
        <w:t>Win on IFRS expertise, group consolidation depth, and senior-level Big 4 credentials. Escalon is a generalist. FinAccSolutions is a specialist.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Paro</w:t>
            </w:r>
          </w:p>
        </w:tc>
        <w:tc>
          <w:tcPr>
            <w:tcW w:type="dxa" w:w="2928"/>
            <w:shd w:val="clear" w:color="auto" w:fill="1B4FD8"/>
          </w:tcPr>
          <w:p>
            <w:r>
              <w:rPr>
                <w:rFonts w:ascii="Arial" w:hAnsi="Arial"/>
                <w:color w:val="FFFFFF"/>
                <w:sz w:val="18"/>
              </w:rPr>
              <w:t>Tier: Adjacent</w:t>
            </w:r>
          </w:p>
        </w:tc>
        <w:tc>
          <w:tcPr>
            <w:tcW w:type="dxa" w:w="2928"/>
            <w:shd w:val="clear" w:color="auto" w:fill="E6F0E8"/>
          </w:tcPr>
          <w:p>
            <w:r>
              <w:rPr>
                <w:rFonts w:ascii="Arial" w:hAnsi="Arial"/>
                <w:b/>
                <w:color w:val="059669"/>
                <w:sz w:val="18"/>
              </w:rPr>
              <w:t>Threat Level: Low</w:t>
            </w:r>
          </w:p>
        </w:tc>
      </w:tr>
    </w:tbl>
    <w:p>
      <w:pPr>
        <w:spacing w:before="80"/>
        <w:ind w:left="144"/>
      </w:pPr>
      <w:r>
        <w:rPr>
          <w:rFonts w:ascii="Arial" w:hAnsi="Arial"/>
          <w:b/>
          <w:sz w:val="20"/>
        </w:rPr>
        <w:t xml:space="preserve">Positioning: </w:t>
      </w:r>
      <w:r>
        <w:rPr>
          <w:rFonts w:ascii="Arial" w:hAnsi="Arial"/>
          <w:i/>
          <w:sz w:val="20"/>
        </w:rPr>
        <w:t>Freelance finance talent marketplace. AI-matched fractional CFOs, analysts, bookkeepers.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6F0E8"/>
          </w:tcPr>
          <w:p>
            <w:r>
              <w:rPr>
                <w:rFonts w:ascii="Arial" w:hAnsi="Arial"/>
                <w:b/>
                <w:color w:val="059669"/>
                <w:sz w:val="18"/>
              </w:rPr>
              <w:t>Their Strengths</w:t>
            </w:r>
          </w:p>
        </w:tc>
        <w:tc>
          <w:tcPr>
            <w:tcW w:type="dxa" w:w="4392"/>
            <w:shd w:val="clear" w:color="auto" w:fill="FEE2E2"/>
          </w:tcPr>
          <w:p>
            <w:r>
              <w:rPr>
                <w:rFonts w:ascii="Arial" w:hAnsi="Arial"/>
                <w:b/>
                <w:color w:val="DC2626"/>
                <w:sz w:val="18"/>
              </w:rPr>
              <w:t>Their Weaknesses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  <w:t>+ Large talent pool — thousands of vetted freelancers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Marketplace model means variable quality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  <w:t>+ Flexible engagement model (fractional, project, full-time)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No managed service — client does the management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  <w:t>+ US-centric but growing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No IFRS or international accounting specialisation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Higher fees due to marketplace margin</w:t>
            </w:r>
          </w:p>
        </w:tc>
      </w:tr>
    </w:tbl>
    <w:p>
      <w:pPr>
        <w:spacing w:before="120" w:after="320"/>
        <w:ind w:left="144"/>
      </w:pPr>
      <w:r>
        <w:rPr>
          <w:rFonts w:ascii="Arial" w:hAnsi="Arial"/>
          <w:b/>
          <w:color w:val="1B4FD8"/>
          <w:sz w:val="20"/>
        </w:rPr>
        <w:t xml:space="preserve">How to Win: </w:t>
      </w:r>
      <w:r>
        <w:rPr>
          <w:rFonts w:ascii="Arial" w:hAnsi="Arial"/>
          <w:sz w:val="20"/>
        </w:rPr>
        <w:t>FinAccSolutions offers a managed, integrated service vs. Paro's marketplace. Pitch: 'A vetted, dedicated professional who works as part of your team — not a freelance match.'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Acuity (India-based FAO firms)</w:t>
            </w:r>
          </w:p>
        </w:tc>
        <w:tc>
          <w:tcPr>
            <w:tcW w:type="dxa" w:w="2928"/>
            <w:shd w:val="clear" w:color="auto" w:fill="1B4FD8"/>
          </w:tcPr>
          <w:p>
            <w:r>
              <w:rPr>
                <w:rFonts w:ascii="Arial" w:hAnsi="Arial"/>
                <w:color w:val="FFFFFF"/>
                <w:sz w:val="18"/>
              </w:rPr>
              <w:t>Tier: Direct</w:t>
            </w:r>
          </w:p>
        </w:tc>
        <w:tc>
          <w:tcPr>
            <w:tcW w:type="dxa" w:w="2928"/>
            <w:shd w:val="clear" w:color="auto" w:fill="FEE2E2"/>
          </w:tcPr>
          <w:p>
            <w:r>
              <w:rPr>
                <w:rFonts w:ascii="Arial" w:hAnsi="Arial"/>
                <w:b/>
                <w:color w:val="DC2626"/>
                <w:sz w:val="18"/>
              </w:rPr>
              <w:t>Threat Level: High</w:t>
            </w:r>
          </w:p>
        </w:tc>
      </w:tr>
    </w:tbl>
    <w:p>
      <w:pPr>
        <w:spacing w:before="80"/>
        <w:ind w:left="144"/>
      </w:pPr>
      <w:r>
        <w:rPr>
          <w:rFonts w:ascii="Arial" w:hAnsi="Arial"/>
          <w:b/>
          <w:sz w:val="20"/>
        </w:rPr>
        <w:t xml:space="preserve">Positioning: </w:t>
      </w:r>
      <w:r>
        <w:rPr>
          <w:rFonts w:ascii="Arial" w:hAnsi="Arial"/>
          <w:i/>
          <w:sz w:val="20"/>
        </w:rPr>
        <w:t>Indian offshore accounting and CFO services firms targeting US/UK markets.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6F0E8"/>
          </w:tcPr>
          <w:p>
            <w:r>
              <w:rPr>
                <w:rFonts w:ascii="Arial" w:hAnsi="Arial"/>
                <w:b/>
                <w:color w:val="059669"/>
                <w:sz w:val="18"/>
              </w:rPr>
              <w:t>Their Strengths</w:t>
            </w:r>
          </w:p>
        </w:tc>
        <w:tc>
          <w:tcPr>
            <w:tcW w:type="dxa" w:w="4392"/>
            <w:shd w:val="clear" w:color="auto" w:fill="FEE2E2"/>
          </w:tcPr>
          <w:p>
            <w:r>
              <w:rPr>
                <w:rFonts w:ascii="Arial" w:hAnsi="Arial"/>
                <w:b/>
                <w:color w:val="DC2626"/>
                <w:sz w:val="18"/>
              </w:rPr>
              <w:t>Their Weaknesses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  <w:t>+ Highly cost-competitive on hourly rates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Timezone gap with UK/US is significant (5.5 hrs from India to UK vs. Pakistan's near-overlap)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  <w:t>+ Large talent pools and established delivery processes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Commoditised positioning — perceived as interchangeable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  <w:t>+ Mature market presence (10-15+ years in many cases)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Often lack Big 4 credentials at individual accountant level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Limited consolidation platform expertise</w:t>
            </w:r>
          </w:p>
        </w:tc>
      </w:tr>
    </w:tbl>
    <w:p>
      <w:pPr>
        <w:spacing w:before="120" w:after="320"/>
        <w:ind w:left="144"/>
      </w:pPr>
      <w:r>
        <w:rPr>
          <w:rFonts w:ascii="Arial" w:hAnsi="Arial"/>
          <w:b/>
          <w:color w:val="1B4FD8"/>
          <w:sz w:val="20"/>
        </w:rPr>
        <w:t xml:space="preserve">How to Win: </w:t>
      </w:r>
      <w:r>
        <w:rPr>
          <w:rFonts w:ascii="Arial" w:hAnsi="Arial"/>
          <w:sz w:val="20"/>
        </w:rPr>
        <w:t>Compete on credentials, not price. Own the 'Big 4-trained offshore accountant' positioning. Pakistani accountants have a stronger timezone overlap with UK/EU clients (PKT = UTC+5) than Indian counterparts.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In-House Finance Teams</w:t>
            </w:r>
          </w:p>
        </w:tc>
        <w:tc>
          <w:tcPr>
            <w:tcW w:type="dxa" w:w="2928"/>
            <w:shd w:val="clear" w:color="auto" w:fill="1B4FD8"/>
          </w:tcPr>
          <w:p>
            <w:r>
              <w:rPr>
                <w:rFonts w:ascii="Arial" w:hAnsi="Arial"/>
                <w:color w:val="FFFFFF"/>
                <w:sz w:val="18"/>
              </w:rPr>
              <w:t>Tier: Status Quo</w:t>
            </w:r>
          </w:p>
        </w:tc>
        <w:tc>
          <w:tcPr>
            <w:tcW w:type="dxa" w:w="2928"/>
            <w:shd w:val="clear" w:color="auto" w:fill="FEE2E2"/>
          </w:tcPr>
          <w:p>
            <w:r>
              <w:rPr>
                <w:rFonts w:ascii="Arial" w:hAnsi="Arial"/>
                <w:b/>
                <w:color w:val="DC2626"/>
                <w:sz w:val="18"/>
              </w:rPr>
              <w:t>Threat Level: High</w:t>
            </w:r>
          </w:p>
        </w:tc>
      </w:tr>
    </w:tbl>
    <w:p>
      <w:pPr>
        <w:spacing w:before="80"/>
        <w:ind w:left="144"/>
      </w:pPr>
      <w:r>
        <w:rPr>
          <w:rFonts w:ascii="Arial" w:hAnsi="Arial"/>
          <w:b/>
          <w:sz w:val="20"/>
        </w:rPr>
        <w:t xml:space="preserve">Positioning: </w:t>
      </w:r>
      <w:r>
        <w:rPr>
          <w:rFonts w:ascii="Arial" w:hAnsi="Arial"/>
          <w:i/>
          <w:sz w:val="20"/>
        </w:rPr>
        <w:t>The default choice — hiring local accountants and building an internal team.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6F0E8"/>
          </w:tcPr>
          <w:p>
            <w:r>
              <w:rPr>
                <w:rFonts w:ascii="Arial" w:hAnsi="Arial"/>
                <w:b/>
                <w:color w:val="059669"/>
                <w:sz w:val="18"/>
              </w:rPr>
              <w:t>Their Strengths</w:t>
            </w:r>
          </w:p>
        </w:tc>
        <w:tc>
          <w:tcPr>
            <w:tcW w:type="dxa" w:w="4392"/>
            <w:shd w:val="clear" w:color="auto" w:fill="FEE2E2"/>
          </w:tcPr>
          <w:p>
            <w:r>
              <w:rPr>
                <w:rFonts w:ascii="Arial" w:hAnsi="Arial"/>
                <w:b/>
                <w:color w:val="DC2626"/>
                <w:sz w:val="18"/>
              </w:rPr>
              <w:t>Their Weaknesses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  <w:t>+ Cultural alignment and immediate availability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- 3-5x more expensive than offshore equivalent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  <w:t>+ No perceived offshore risk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Harder to find IFRS/consolidation specialists locally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  <w:t>+ Full control over team and processes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No scalability — adding headcount is slow</w:t>
            </w:r>
          </w:p>
        </w:tc>
      </w:tr>
      <w:tr>
        <w:tc>
          <w:tcPr>
            <w:tcW w:type="dxa" w:w="4392"/>
            <w:shd w:val="clear" w:color="auto" w:fill="F0FFF4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rFonts w:ascii="Arial" w:hAnsi="Arial"/>
                <w:sz w:val="18"/>
              </w:rPr>
              <w:t>- Benefits, office, HR overhead on top of salary</w:t>
            </w:r>
          </w:p>
        </w:tc>
      </w:tr>
    </w:tbl>
    <w:p>
      <w:pPr>
        <w:spacing w:before="120" w:after="320"/>
        <w:ind w:left="144"/>
      </w:pPr>
      <w:r>
        <w:rPr>
          <w:rFonts w:ascii="Arial" w:hAnsi="Arial"/>
          <w:b/>
          <w:color w:val="1B4FD8"/>
          <w:sz w:val="20"/>
        </w:rPr>
        <w:t xml:space="preserve">How to Win: </w:t>
      </w:r>
      <w:r>
        <w:rPr>
          <w:rFonts w:ascii="Arial" w:hAnsi="Arial"/>
          <w:sz w:val="20"/>
        </w:rPr>
        <w:t>This is the biggest 'competitor.' Focus content marketing and messaging on the cost-quality equation. A Big 4-trained offshore accountant at a fraction of the London/New York market rate is the core value proposition.</w:t>
      </w:r>
    </w:p>
    <w:p>
      <w:r>
        <w:br w:type="page"/>
      </w:r>
    </w:p>
    <w:p>
      <w:pPr>
        <w:spacing w:before="480" w:after="160"/>
        <w:pBdr>
          <w:bottom w:val="single" w:sz="4" w:space="4" w:color="1B4FD8"/>
        </w:pBdr>
      </w:pPr>
      <w:r>
        <w:rPr>
          <w:rFonts w:ascii="Arial" w:hAnsi="Arial"/>
          <w:b/>
          <w:color w:val="0A1628"/>
          <w:sz w:val="36"/>
        </w:rPr>
        <w:t>3. Competitive Positioning Matrix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Rated on four dimensions (1=Low, 5=High) where higher scores on FinAccSolutions' axes represent competitive advantage: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1464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IFRS Depth</w:t>
            </w:r>
          </w:p>
        </w:tc>
        <w:tc>
          <w:tcPr>
            <w:tcW w:type="dxa" w:w="1464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Group Consol.</w:t>
            </w:r>
          </w:p>
        </w:tc>
        <w:tc>
          <w:tcPr>
            <w:tcW w:type="dxa" w:w="1464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Talent Model</w:t>
            </w:r>
          </w:p>
        </w:tc>
        <w:tc>
          <w:tcPr>
            <w:tcW w:type="dxa" w:w="1464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Price Point</w:t>
            </w:r>
          </w:p>
        </w:tc>
        <w:tc>
          <w:tcPr>
            <w:tcW w:type="dxa" w:w="1464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Startup/CFO</w:t>
            </w:r>
          </w:p>
        </w:tc>
      </w:tr>
      <w:tr>
        <w:tc>
          <w:tcPr>
            <w:tcW w:type="dxa" w:w="1464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FinAccSolutions</w:t>
            </w:r>
          </w:p>
        </w:tc>
        <w:tc>
          <w:tcPr>
            <w:tcW w:type="dxa" w:w="1464"/>
            <w:shd w:val="clear" w:color="auto" w:fill="1B4F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5/5</w:t>
            </w:r>
          </w:p>
        </w:tc>
        <w:tc>
          <w:tcPr>
            <w:tcW w:type="dxa" w:w="1464"/>
            <w:shd w:val="clear" w:color="auto" w:fill="1B4F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5/5</w:t>
            </w:r>
          </w:p>
        </w:tc>
        <w:tc>
          <w:tcPr>
            <w:tcW w:type="dxa" w:w="1464"/>
            <w:shd w:val="clear" w:color="auto" w:fill="1B4F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5/5</w:t>
            </w:r>
          </w:p>
        </w:tc>
        <w:tc>
          <w:tcPr>
            <w:tcW w:type="dxa" w:w="1464"/>
            <w:shd w:val="clear" w:color="auto" w:fill="1B4F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5/5</w:t>
            </w:r>
          </w:p>
        </w:tc>
        <w:tc>
          <w:tcPr>
            <w:tcW w:type="dxa" w:w="1464"/>
            <w:shd w:val="clear" w:color="auto" w:fill="3B82F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4/5</w:t>
            </w:r>
          </w:p>
        </w:tc>
      </w:tr>
      <w:tr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Bench</w:t>
            </w:r>
          </w:p>
        </w:tc>
        <w:tc>
          <w:tcPr>
            <w:tcW w:type="dxa" w:w="1464"/>
            <w:shd w:val="clear" w:color="auto" w:fill="E2E8F0"/>
          </w:tcPr>
          <w:p>
            <w:pPr>
              <w:jc w:val="center"/>
            </w:pPr>
            <w:r>
              <w:rPr>
                <w:rFonts w:ascii="Arial" w:hAnsi="Arial"/>
                <w:b/>
                <w:color w:val="0A1628"/>
                <w:sz w:val="18"/>
              </w:rPr>
              <w:t>1/5</w:t>
            </w:r>
          </w:p>
        </w:tc>
        <w:tc>
          <w:tcPr>
            <w:tcW w:type="dxa" w:w="1464"/>
            <w:shd w:val="clear" w:color="auto" w:fill="E2E8F0"/>
          </w:tcPr>
          <w:p>
            <w:pPr>
              <w:jc w:val="center"/>
            </w:pPr>
            <w:r>
              <w:rPr>
                <w:rFonts w:ascii="Arial" w:hAnsi="Arial"/>
                <w:b/>
                <w:color w:val="0A1628"/>
                <w:sz w:val="18"/>
              </w:rPr>
              <w:t>1/5</w:t>
            </w:r>
          </w:p>
        </w:tc>
        <w:tc>
          <w:tcPr>
            <w:tcW w:type="dxa" w:w="1464"/>
            <w:shd w:val="clear" w:color="auto" w:fill="E2E8F0"/>
          </w:tcPr>
          <w:p>
            <w:pPr>
              <w:jc w:val="center"/>
            </w:pPr>
            <w:r>
              <w:rPr>
                <w:rFonts w:ascii="Arial" w:hAnsi="Arial"/>
                <w:b/>
                <w:color w:val="0A1628"/>
                <w:sz w:val="18"/>
              </w:rPr>
              <w:t>1/5</w:t>
            </w:r>
          </w:p>
        </w:tc>
        <w:tc>
          <w:tcPr>
            <w:tcW w:type="dxa" w:w="1464"/>
            <w:shd w:val="clear" w:color="auto" w:fill="3B82F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4/5</w:t>
            </w:r>
          </w:p>
        </w:tc>
        <w:tc>
          <w:tcPr>
            <w:tcW w:type="dxa" w:w="1464"/>
            <w:shd w:val="clear" w:color="auto" w:fill="E2E8F0"/>
          </w:tcPr>
          <w:p>
            <w:pPr>
              <w:jc w:val="center"/>
            </w:pPr>
            <w:r>
              <w:rPr>
                <w:rFonts w:ascii="Arial" w:hAnsi="Arial"/>
                <w:b/>
                <w:color w:val="0A1628"/>
                <w:sz w:val="18"/>
              </w:rPr>
              <w:t>1/5</w:t>
            </w:r>
          </w:p>
        </w:tc>
      </w:tr>
      <w:tr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b w:val="0"/>
                <w:sz w:val="18"/>
              </w:rPr>
              <w:t>Pilot</w:t>
            </w:r>
          </w:p>
        </w:tc>
        <w:tc>
          <w:tcPr>
            <w:tcW w:type="dxa" w:w="1464"/>
            <w:shd w:val="clear" w:color="auto" w:fill="E2E8F0"/>
          </w:tcPr>
          <w:p>
            <w:pPr>
              <w:jc w:val="center"/>
            </w:pPr>
            <w:r>
              <w:rPr>
                <w:rFonts w:ascii="Arial" w:hAnsi="Arial"/>
                <w:b/>
                <w:color w:val="0A1628"/>
                <w:sz w:val="18"/>
              </w:rPr>
              <w:t>1/5</w:t>
            </w:r>
          </w:p>
        </w:tc>
        <w:tc>
          <w:tcPr>
            <w:tcW w:type="dxa" w:w="1464"/>
            <w:shd w:val="clear" w:color="auto" w:fill="E2E8F0"/>
          </w:tcPr>
          <w:p>
            <w:pPr>
              <w:jc w:val="center"/>
            </w:pPr>
            <w:r>
              <w:rPr>
                <w:rFonts w:ascii="Arial" w:hAnsi="Arial"/>
                <w:b/>
                <w:color w:val="0A1628"/>
                <w:sz w:val="18"/>
              </w:rPr>
              <w:t>1/5</w:t>
            </w:r>
          </w:p>
        </w:tc>
        <w:tc>
          <w:tcPr>
            <w:tcW w:type="dxa" w:w="1464"/>
            <w:shd w:val="clear" w:color="auto" w:fill="CBD5E1"/>
          </w:tcPr>
          <w:p>
            <w:pPr>
              <w:jc w:val="center"/>
            </w:pPr>
            <w:r>
              <w:rPr>
                <w:rFonts w:ascii="Arial" w:hAnsi="Arial"/>
                <w:b/>
                <w:color w:val="0A1628"/>
                <w:sz w:val="18"/>
              </w:rPr>
              <w:t>2/5</w:t>
            </w:r>
          </w:p>
        </w:tc>
        <w:tc>
          <w:tcPr>
            <w:tcW w:type="dxa" w:w="1464"/>
            <w:shd w:val="clear" w:color="auto" w:fill="CBD5E1"/>
          </w:tcPr>
          <w:p>
            <w:pPr>
              <w:jc w:val="center"/>
            </w:pPr>
            <w:r>
              <w:rPr>
                <w:rFonts w:ascii="Arial" w:hAnsi="Arial"/>
                <w:b/>
                <w:color w:val="0A1628"/>
                <w:sz w:val="18"/>
              </w:rPr>
              <w:t>2/5</w:t>
            </w:r>
          </w:p>
        </w:tc>
        <w:tc>
          <w:tcPr>
            <w:tcW w:type="dxa" w:w="1464"/>
            <w:shd w:val="clear" w:color="auto" w:fill="3B82F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4/5</w:t>
            </w:r>
          </w:p>
        </w:tc>
      </w:tr>
      <w:tr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Escalon</w:t>
            </w:r>
          </w:p>
        </w:tc>
        <w:tc>
          <w:tcPr>
            <w:tcW w:type="dxa" w:w="1464"/>
            <w:shd w:val="clear" w:color="auto" w:fill="CBD5E1"/>
          </w:tcPr>
          <w:p>
            <w:pPr>
              <w:jc w:val="center"/>
            </w:pPr>
            <w:r>
              <w:rPr>
                <w:rFonts w:ascii="Arial" w:hAnsi="Arial"/>
                <w:b/>
                <w:color w:val="0A1628"/>
                <w:sz w:val="18"/>
              </w:rPr>
              <w:t>2/5</w:t>
            </w:r>
          </w:p>
        </w:tc>
        <w:tc>
          <w:tcPr>
            <w:tcW w:type="dxa" w:w="1464"/>
            <w:shd w:val="clear" w:color="auto" w:fill="CBD5E1"/>
          </w:tcPr>
          <w:p>
            <w:pPr>
              <w:jc w:val="center"/>
            </w:pPr>
            <w:r>
              <w:rPr>
                <w:rFonts w:ascii="Arial" w:hAnsi="Arial"/>
                <w:b/>
                <w:color w:val="0A1628"/>
                <w:sz w:val="18"/>
              </w:rPr>
              <w:t>2/5</w:t>
            </w:r>
          </w:p>
        </w:tc>
        <w:tc>
          <w:tcPr>
            <w:tcW w:type="dxa" w:w="1464"/>
            <w:shd w:val="clear" w:color="auto" w:fill="94A3B8"/>
          </w:tcPr>
          <w:p>
            <w:pPr>
              <w:jc w:val="center"/>
            </w:pPr>
            <w:r>
              <w:rPr>
                <w:rFonts w:ascii="Arial" w:hAnsi="Arial"/>
                <w:b/>
                <w:color w:val="0A1628"/>
                <w:sz w:val="18"/>
              </w:rPr>
              <w:t>3/5</w:t>
            </w:r>
          </w:p>
        </w:tc>
        <w:tc>
          <w:tcPr>
            <w:tcW w:type="dxa" w:w="1464"/>
            <w:shd w:val="clear" w:color="auto" w:fill="94A3B8"/>
          </w:tcPr>
          <w:p>
            <w:pPr>
              <w:jc w:val="center"/>
            </w:pPr>
            <w:r>
              <w:rPr>
                <w:rFonts w:ascii="Arial" w:hAnsi="Arial"/>
                <w:b/>
                <w:color w:val="0A1628"/>
                <w:sz w:val="18"/>
              </w:rPr>
              <w:t>3/5</w:t>
            </w:r>
          </w:p>
        </w:tc>
        <w:tc>
          <w:tcPr>
            <w:tcW w:type="dxa" w:w="1464"/>
            <w:shd w:val="clear" w:color="auto" w:fill="3B82F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4/5</w:t>
            </w:r>
          </w:p>
        </w:tc>
      </w:tr>
      <w:tr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b w:val="0"/>
                <w:sz w:val="18"/>
              </w:rPr>
              <w:t>Paro</w:t>
            </w:r>
          </w:p>
        </w:tc>
        <w:tc>
          <w:tcPr>
            <w:tcW w:type="dxa" w:w="1464"/>
            <w:shd w:val="clear" w:color="auto" w:fill="E2E8F0"/>
          </w:tcPr>
          <w:p>
            <w:pPr>
              <w:jc w:val="center"/>
            </w:pPr>
            <w:r>
              <w:rPr>
                <w:rFonts w:ascii="Arial" w:hAnsi="Arial"/>
                <w:b/>
                <w:color w:val="0A1628"/>
                <w:sz w:val="18"/>
              </w:rPr>
              <w:t>1/5</w:t>
            </w:r>
          </w:p>
        </w:tc>
        <w:tc>
          <w:tcPr>
            <w:tcW w:type="dxa" w:w="1464"/>
            <w:shd w:val="clear" w:color="auto" w:fill="E2E8F0"/>
          </w:tcPr>
          <w:p>
            <w:pPr>
              <w:jc w:val="center"/>
            </w:pPr>
            <w:r>
              <w:rPr>
                <w:rFonts w:ascii="Arial" w:hAnsi="Arial"/>
                <w:b/>
                <w:color w:val="0A1628"/>
                <w:sz w:val="18"/>
              </w:rPr>
              <w:t>1/5</w:t>
            </w:r>
          </w:p>
        </w:tc>
        <w:tc>
          <w:tcPr>
            <w:tcW w:type="dxa" w:w="1464"/>
            <w:shd w:val="clear" w:color="auto" w:fill="3B82F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4/5</w:t>
            </w:r>
          </w:p>
        </w:tc>
        <w:tc>
          <w:tcPr>
            <w:tcW w:type="dxa" w:w="1464"/>
            <w:shd w:val="clear" w:color="auto" w:fill="94A3B8"/>
          </w:tcPr>
          <w:p>
            <w:pPr>
              <w:jc w:val="center"/>
            </w:pPr>
            <w:r>
              <w:rPr>
                <w:rFonts w:ascii="Arial" w:hAnsi="Arial"/>
                <w:b/>
                <w:color w:val="0A1628"/>
                <w:sz w:val="18"/>
              </w:rPr>
              <w:t>3/5</w:t>
            </w:r>
          </w:p>
        </w:tc>
        <w:tc>
          <w:tcPr>
            <w:tcW w:type="dxa" w:w="1464"/>
            <w:shd w:val="clear" w:color="auto" w:fill="CBD5E1"/>
          </w:tcPr>
          <w:p>
            <w:pPr>
              <w:jc w:val="center"/>
            </w:pPr>
            <w:r>
              <w:rPr>
                <w:rFonts w:ascii="Arial" w:hAnsi="Arial"/>
                <w:b/>
                <w:color w:val="0A1628"/>
                <w:sz w:val="18"/>
              </w:rPr>
              <w:t>2/5</w:t>
            </w:r>
          </w:p>
        </w:tc>
      </w:tr>
      <w:tr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India FAO firms</w:t>
            </w:r>
          </w:p>
        </w:tc>
        <w:tc>
          <w:tcPr>
            <w:tcW w:type="dxa" w:w="1464"/>
            <w:shd w:val="clear" w:color="auto" w:fill="94A3B8"/>
          </w:tcPr>
          <w:p>
            <w:pPr>
              <w:jc w:val="center"/>
            </w:pPr>
            <w:r>
              <w:rPr>
                <w:rFonts w:ascii="Arial" w:hAnsi="Arial"/>
                <w:b/>
                <w:color w:val="0A1628"/>
                <w:sz w:val="18"/>
              </w:rPr>
              <w:t>3/5</w:t>
            </w:r>
          </w:p>
        </w:tc>
        <w:tc>
          <w:tcPr>
            <w:tcW w:type="dxa" w:w="1464"/>
            <w:shd w:val="clear" w:color="auto" w:fill="CBD5E1"/>
          </w:tcPr>
          <w:p>
            <w:pPr>
              <w:jc w:val="center"/>
            </w:pPr>
            <w:r>
              <w:rPr>
                <w:rFonts w:ascii="Arial" w:hAnsi="Arial"/>
                <w:b/>
                <w:color w:val="0A1628"/>
                <w:sz w:val="18"/>
              </w:rPr>
              <w:t>2/5</w:t>
            </w:r>
          </w:p>
        </w:tc>
        <w:tc>
          <w:tcPr>
            <w:tcW w:type="dxa" w:w="1464"/>
            <w:shd w:val="clear" w:color="auto" w:fill="CBD5E1"/>
          </w:tcPr>
          <w:p>
            <w:pPr>
              <w:jc w:val="center"/>
            </w:pPr>
            <w:r>
              <w:rPr>
                <w:rFonts w:ascii="Arial" w:hAnsi="Arial"/>
                <w:b/>
                <w:color w:val="0A1628"/>
                <w:sz w:val="18"/>
              </w:rPr>
              <w:t>2/5</w:t>
            </w:r>
          </w:p>
        </w:tc>
        <w:tc>
          <w:tcPr>
            <w:tcW w:type="dxa" w:w="1464"/>
            <w:shd w:val="clear" w:color="auto" w:fill="1B4F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5/5</w:t>
            </w:r>
          </w:p>
        </w:tc>
        <w:tc>
          <w:tcPr>
            <w:tcW w:type="dxa" w:w="1464"/>
            <w:shd w:val="clear" w:color="auto" w:fill="CBD5E1"/>
          </w:tcPr>
          <w:p>
            <w:pPr>
              <w:jc w:val="center"/>
            </w:pPr>
            <w:r>
              <w:rPr>
                <w:rFonts w:ascii="Arial" w:hAnsi="Arial"/>
                <w:b/>
                <w:color w:val="0A1628"/>
                <w:sz w:val="18"/>
              </w:rPr>
              <w:t>2/5</w:t>
            </w:r>
          </w:p>
        </w:tc>
      </w:tr>
      <w:tr>
        <w:tc>
          <w:tcPr>
            <w:tcW w:type="dxa" w:w="1464"/>
          </w:tcPr>
          <w:p/>
        </w:tc>
        <w:tc>
          <w:tcPr>
            <w:tcW w:type="dxa" w:w="1464"/>
          </w:tcPr>
          <w:p/>
        </w:tc>
        <w:tc>
          <w:tcPr>
            <w:tcW w:type="dxa" w:w="1464"/>
          </w:tcPr>
          <w:p/>
        </w:tc>
        <w:tc>
          <w:tcPr>
            <w:tcW w:type="dxa" w:w="1464"/>
          </w:tcPr>
          <w:p/>
        </w:tc>
        <w:tc>
          <w:tcPr>
            <w:tcW w:type="dxa" w:w="1464"/>
          </w:tcPr>
          <w:p/>
        </w:tc>
        <w:tc>
          <w:tcPr>
            <w:tcW w:type="dxa" w:w="1464"/>
          </w:tcPr>
          <w:p/>
        </w:tc>
      </w:tr>
    </w:tbl>
    <w:p>
      <w:pPr>
        <w:spacing w:before="0" w:after="240"/>
      </w:pPr>
    </w:p>
    <w:p>
      <w:r>
        <w:br w:type="page"/>
      </w:r>
    </w:p>
    <w:p>
      <w:pPr>
        <w:spacing w:before="480" w:after="160"/>
        <w:pBdr>
          <w:bottom w:val="single" w:sz="4" w:space="4" w:color="1B4FD8"/>
        </w:pBdr>
      </w:pPr>
      <w:r>
        <w:rPr>
          <w:rFonts w:ascii="Arial" w:hAnsi="Arial"/>
          <w:b/>
          <w:color w:val="0A1628"/>
          <w:sz w:val="36"/>
        </w:rPr>
        <w:t>4. Content Gaps &amp; Messaging Opportunities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These are keyword and positioning territories where competitors are weak and FinAccSolutions has a genuine right to win: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 xml:space="preserve">  OPPORTUNITY 1: IFRS Group Consolidation for Holding Groups</w:t>
            </w:r>
          </w:p>
        </w:tc>
      </w:tr>
    </w:tbl>
    <w:p>
      <w:pPr>
        <w:spacing w:before="80" w:after="40"/>
        <w:ind w:left="144"/>
      </w:pPr>
      <w:r>
        <w:rPr>
          <w:rFonts w:ascii="Arial" w:hAnsi="Arial"/>
          <w:b/>
          <w:color w:val="0A1628"/>
          <w:sz w:val="20"/>
        </w:rPr>
        <w:t xml:space="preserve">Market Insight: </w:t>
      </w:r>
      <w:r>
        <w:rPr>
          <w:rFonts w:ascii="Arial" w:hAnsi="Arial"/>
          <w:sz w:val="20"/>
        </w:rPr>
        <w:t>No major SaaS competitor serves IFRS 10 multi-entity consolidation. This is a high-value, high-intent niche.</w:t>
      </w:r>
    </w:p>
    <w:p>
      <w:pPr>
        <w:spacing w:before="80" w:after="40"/>
        <w:ind w:left="144"/>
      </w:pPr>
      <w:r>
        <w:rPr>
          <w:rFonts w:ascii="Arial" w:hAnsi="Arial"/>
          <w:b/>
          <w:color w:val="0A1628"/>
          <w:sz w:val="20"/>
        </w:rPr>
        <w:t xml:space="preserve">Ideal Target: </w:t>
      </w:r>
      <w:r>
        <w:rPr>
          <w:rFonts w:ascii="Arial" w:hAnsi="Arial"/>
          <w:sz w:val="20"/>
        </w:rPr>
        <w:t>Target: CFOs of group holding companies, PE-backed multi-entity structures</w:t>
      </w:r>
    </w:p>
    <w:p>
      <w:pPr>
        <w:spacing w:before="80" w:after="40"/>
        <w:ind w:left="144"/>
      </w:pPr>
      <w:r>
        <w:rPr>
          <w:rFonts w:ascii="Arial" w:hAnsi="Arial"/>
          <w:b/>
          <w:color w:val="0A1628"/>
          <w:sz w:val="20"/>
        </w:rPr>
        <w:t xml:space="preserve">Recommended Action: </w:t>
      </w:r>
      <w:r>
        <w:rPr>
          <w:rFonts w:ascii="Arial" w:hAnsi="Arial"/>
          <w:sz w:val="20"/>
        </w:rPr>
        <w:t>'IFRS 10 Group Consolidation Service' — dedicated landing page + 2 blog posts + LinkedIn campaign</w:t>
      </w:r>
    </w:p>
    <w:p>
      <w:pPr>
        <w:spacing w:before="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 xml:space="preserve">  OPPORTUNITY 2: Offshore Finance Team for UK/EU SMEs</w:t>
            </w:r>
          </w:p>
        </w:tc>
      </w:tr>
    </w:tbl>
    <w:p>
      <w:pPr>
        <w:spacing w:before="80" w:after="40"/>
        <w:ind w:left="144"/>
      </w:pPr>
      <w:r>
        <w:rPr>
          <w:rFonts w:ascii="Arial" w:hAnsi="Arial"/>
          <w:b/>
          <w:color w:val="0A1628"/>
          <w:sz w:val="20"/>
        </w:rPr>
        <w:t xml:space="preserve">Market Insight: </w:t>
      </w:r>
      <w:r>
        <w:rPr>
          <w:rFonts w:ascii="Arial" w:hAnsi="Arial"/>
          <w:sz w:val="20"/>
        </w:rPr>
        <w:t>India-based FAO firms dominate this space but have timezone and credential weaknesses vs. Pakistan-based talent.</w:t>
      </w:r>
    </w:p>
    <w:p>
      <w:pPr>
        <w:spacing w:before="80" w:after="40"/>
        <w:ind w:left="144"/>
      </w:pPr>
      <w:r>
        <w:rPr>
          <w:rFonts w:ascii="Arial" w:hAnsi="Arial"/>
          <w:b/>
          <w:color w:val="0A1628"/>
          <w:sz w:val="20"/>
        </w:rPr>
        <w:t xml:space="preserve">Ideal Target: </w:t>
      </w:r>
      <w:r>
        <w:rPr>
          <w:rFonts w:ascii="Arial" w:hAnsi="Arial"/>
          <w:sz w:val="20"/>
        </w:rPr>
        <w:t>Target: UK / EU founders and FDs looking to cut finance overhead</w:t>
      </w:r>
    </w:p>
    <w:p>
      <w:pPr>
        <w:spacing w:before="80" w:after="40"/>
        <w:ind w:left="144"/>
      </w:pPr>
      <w:r>
        <w:rPr>
          <w:rFonts w:ascii="Arial" w:hAnsi="Arial"/>
          <w:b/>
          <w:color w:val="0A1628"/>
          <w:sz w:val="20"/>
        </w:rPr>
        <w:t xml:space="preserve">Recommended Action: </w:t>
      </w:r>
      <w:r>
        <w:rPr>
          <w:rFonts w:ascii="Arial" w:hAnsi="Arial"/>
          <w:sz w:val="20"/>
        </w:rPr>
        <w:t>'Offshore Finance Team UK' keyword cluster — PPC campaign + comparison content vs. in-house hiring</w:t>
      </w:r>
    </w:p>
    <w:p>
      <w:pPr>
        <w:spacing w:before="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 xml:space="preserve">  OPPORTUNITY 3: Fundraising Financial Models for Startups</w:t>
            </w:r>
          </w:p>
        </w:tc>
      </w:tr>
    </w:tbl>
    <w:p>
      <w:pPr>
        <w:spacing w:before="80" w:after="40"/>
        <w:ind w:left="144"/>
      </w:pPr>
      <w:r>
        <w:rPr>
          <w:rFonts w:ascii="Arial" w:hAnsi="Arial"/>
          <w:b/>
          <w:color w:val="0A1628"/>
          <w:sz w:val="20"/>
        </w:rPr>
        <w:t xml:space="preserve">Market Insight: </w:t>
      </w:r>
      <w:r>
        <w:rPr>
          <w:rFonts w:ascii="Arial" w:hAnsi="Arial"/>
          <w:sz w:val="20"/>
        </w:rPr>
        <w:t>Pilot owns US startup bookkeeping. No one credibly owns 'fundraising financial modelling' for international founders.</w:t>
      </w:r>
    </w:p>
    <w:p>
      <w:pPr>
        <w:spacing w:before="80" w:after="40"/>
        <w:ind w:left="144"/>
      </w:pPr>
      <w:r>
        <w:rPr>
          <w:rFonts w:ascii="Arial" w:hAnsi="Arial"/>
          <w:b/>
          <w:color w:val="0A1628"/>
          <w:sz w:val="20"/>
        </w:rPr>
        <w:t xml:space="preserve">Ideal Target: </w:t>
      </w:r>
      <w:r>
        <w:rPr>
          <w:rFonts w:ascii="Arial" w:hAnsi="Arial"/>
          <w:sz w:val="20"/>
        </w:rPr>
        <w:t>Target: Pre-Series A founders in UK, Middle East, SE Asia</w:t>
      </w:r>
    </w:p>
    <w:p>
      <w:pPr>
        <w:spacing w:before="80" w:after="40"/>
        <w:ind w:left="144"/>
      </w:pPr>
      <w:r>
        <w:rPr>
          <w:rFonts w:ascii="Arial" w:hAnsi="Arial"/>
          <w:b/>
          <w:color w:val="0A1628"/>
          <w:sz w:val="20"/>
        </w:rPr>
        <w:t xml:space="preserve">Recommended Action: </w:t>
      </w:r>
      <w:r>
        <w:rPr>
          <w:rFonts w:ascii="Arial" w:hAnsi="Arial"/>
          <w:sz w:val="20"/>
        </w:rPr>
        <w:t>Lead magnet: Free financial model template download — email capture funnel</w:t>
      </w:r>
    </w:p>
    <w:p>
      <w:pPr>
        <w:spacing w:before="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 xml:space="preserve">  OPPORTUNITY 4: Big 4-Trained Accountants at Offshore Rates</w:t>
            </w:r>
          </w:p>
        </w:tc>
      </w:tr>
    </w:tbl>
    <w:p>
      <w:pPr>
        <w:spacing w:before="80" w:after="40"/>
        <w:ind w:left="144"/>
      </w:pPr>
      <w:r>
        <w:rPr>
          <w:rFonts w:ascii="Arial" w:hAnsi="Arial"/>
          <w:b/>
          <w:color w:val="0A1628"/>
          <w:sz w:val="20"/>
        </w:rPr>
        <w:t xml:space="preserve">Market Insight: </w:t>
      </w:r>
      <w:r>
        <w:rPr>
          <w:rFonts w:ascii="Arial" w:hAnsi="Arial"/>
          <w:sz w:val="20"/>
        </w:rPr>
        <w:t>This credential claim is unique and unowned by competitors. It directly addresses the 'quality vs. cost' objection.</w:t>
      </w:r>
    </w:p>
    <w:p>
      <w:pPr>
        <w:spacing w:before="80" w:after="40"/>
        <w:ind w:left="144"/>
      </w:pPr>
      <w:r>
        <w:rPr>
          <w:rFonts w:ascii="Arial" w:hAnsi="Arial"/>
          <w:b/>
          <w:color w:val="0A1628"/>
          <w:sz w:val="20"/>
        </w:rPr>
        <w:t xml:space="preserve">Ideal Target: </w:t>
      </w:r>
      <w:r>
        <w:rPr>
          <w:rFonts w:ascii="Arial" w:hAnsi="Arial"/>
          <w:sz w:val="20"/>
        </w:rPr>
        <w:t>Target: SMEs who've had bad experiences with cheap offshore bookkeeping</w:t>
      </w:r>
    </w:p>
    <w:p>
      <w:pPr>
        <w:spacing w:before="80" w:after="40"/>
        <w:ind w:left="144"/>
      </w:pPr>
      <w:r>
        <w:rPr>
          <w:rFonts w:ascii="Arial" w:hAnsi="Arial"/>
          <w:b/>
          <w:color w:val="0A1628"/>
          <w:sz w:val="20"/>
        </w:rPr>
        <w:t xml:space="preserve">Recommended Action: </w:t>
      </w:r>
      <w:r>
        <w:rPr>
          <w:rFonts w:ascii="Arial" w:hAnsi="Arial"/>
          <w:sz w:val="20"/>
        </w:rPr>
        <w:t>Dedicated page: 'Big 4-Trained Accountants. Offshore Economics.' — this should be the hero positioning</w:t>
      </w:r>
    </w:p>
    <w:p>
      <w:pPr>
        <w:spacing w:before="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 xml:space="preserve">  OPPORTUNITY 5: Payroll Services for International Teams</w:t>
            </w:r>
          </w:p>
        </w:tc>
      </w:tr>
    </w:tbl>
    <w:p>
      <w:pPr>
        <w:spacing w:before="80" w:after="40"/>
        <w:ind w:left="144"/>
      </w:pPr>
      <w:r>
        <w:rPr>
          <w:rFonts w:ascii="Arial" w:hAnsi="Arial"/>
          <w:b/>
          <w:color w:val="0A1628"/>
          <w:sz w:val="20"/>
        </w:rPr>
        <w:t xml:space="preserve">Market Insight: </w:t>
      </w:r>
      <w:r>
        <w:rPr>
          <w:rFonts w:ascii="Arial" w:hAnsi="Arial"/>
          <w:sz w:val="20"/>
        </w:rPr>
        <w:t>Payroll outsourcing for multi-jurisdiction teams is a growing need — largely unaddressed by FinAcc competitors.</w:t>
      </w:r>
    </w:p>
    <w:p>
      <w:pPr>
        <w:spacing w:before="80" w:after="40"/>
        <w:ind w:left="144"/>
      </w:pPr>
      <w:r>
        <w:rPr>
          <w:rFonts w:ascii="Arial" w:hAnsi="Arial"/>
          <w:b/>
          <w:color w:val="0A1628"/>
          <w:sz w:val="20"/>
        </w:rPr>
        <w:t xml:space="preserve">Ideal Target: </w:t>
      </w:r>
      <w:r>
        <w:rPr>
          <w:rFonts w:ascii="Arial" w:hAnsi="Arial"/>
          <w:sz w:val="20"/>
        </w:rPr>
        <w:t>Target: Remote-first companies with distributed teams</w:t>
      </w:r>
    </w:p>
    <w:p>
      <w:pPr>
        <w:spacing w:before="80" w:after="40"/>
        <w:ind w:left="144"/>
      </w:pPr>
      <w:r>
        <w:rPr>
          <w:rFonts w:ascii="Arial" w:hAnsi="Arial"/>
          <w:b/>
          <w:color w:val="0A1628"/>
          <w:sz w:val="20"/>
        </w:rPr>
        <w:t xml:space="preserve">Recommended Action: </w:t>
      </w:r>
      <w:r>
        <w:rPr>
          <w:rFonts w:ascii="Arial" w:hAnsi="Arial"/>
          <w:sz w:val="20"/>
        </w:rPr>
        <w:t>Blog cluster: 'How to Run Payroll Across Multiple Countries' — long-tail SEO</w:t>
      </w:r>
    </w:p>
    <w:p>
      <w:pPr>
        <w:spacing w:before="0" w:after="200"/>
      </w:pPr>
    </w:p>
    <w:p>
      <w:pPr>
        <w:spacing w:before="0" w:after="160"/>
      </w:pPr>
    </w:p>
    <w:p>
      <w:pPr>
        <w:spacing w:before="480" w:after="160"/>
        <w:pBdr>
          <w:bottom w:val="single" w:sz="4" w:space="4" w:color="1B4FD8"/>
        </w:pBdr>
      </w:pPr>
      <w:r>
        <w:rPr>
          <w:rFonts w:ascii="Arial" w:hAnsi="Arial"/>
          <w:b/>
          <w:color w:val="0A1628"/>
          <w:sz w:val="36"/>
        </w:rPr>
        <w:t>5. Recommended Positioning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1B4FD8"/>
          <w:left w:val="single" w:sz="4" w:color="1B4FD8"/>
          <w:bottom w:val="single" w:sz="4" w:color="1B4FD8"/>
          <w:right w:val="single" w:sz="4" w:color="1B4FD8"/>
        </w:tblBorders>
      </w:tblPr>
      <w:tblGrid>
        <w:gridCol w:w="8784"/>
      </w:tblGrid>
      <w:tr>
        <w:tc>
          <w:tcPr>
            <w:tcW w:type="dxa" w:w="8784"/>
            <w:shd w:val="clear" w:color="auto" w:fill="EBF0FB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0A1628"/>
                <w:sz w:val="20"/>
              </w:rPr>
              <w:t>FinAccSolutions is the offshore finance and accounting partner for ambitious businesses — backed by Big 4 and Big 10-trained professionals, certified in IFRS and US GAAP, and experienced across group consolidation, fundraising support, and full-cycle bookkeeping. We give you the financial expertise of a premier advisory firm at a fraction of the cost — so you can scale without the overhead.</w:t>
            </w:r>
          </w:p>
        </w:tc>
      </w:tr>
    </w:tbl>
    <w:p>
      <w:pPr>
        <w:spacing w:after="0"/>
      </w:pPr>
    </w:p>
    <w:p>
      <w:pPr>
        <w:spacing w:before="0" w:after="160"/>
      </w:pPr>
    </w:p>
    <w:p>
      <w:pPr>
        <w:spacing w:before="320" w:after="120"/>
      </w:pPr>
      <w:r>
        <w:rPr>
          <w:rFonts w:ascii="Arial" w:hAnsi="Arial"/>
          <w:b/>
          <w:color w:val="FFFFFF"/>
          <w:sz w:val="26"/>
        </w:rPr>
        <w:t>One-Line Positioning (for ads, social bio, email signature)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1B4FD8"/>
          <w:left w:val="single" w:sz="4" w:color="1B4FD8"/>
          <w:bottom w:val="single" w:sz="4" w:color="1B4FD8"/>
          <w:right w:val="single" w:sz="4" w:color="1B4FD8"/>
        </w:tblBorders>
      </w:tblPr>
      <w:tblGrid>
        <w:gridCol w:w="8784"/>
      </w:tblGrid>
      <w:tr>
        <w:tc>
          <w:tcPr>
            <w:tcW w:type="dxa" w:w="8784"/>
            <w:shd w:val="clear" w:color="auto" w:fill="0A1628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0A1628"/>
                <w:sz w:val="20"/>
              </w:rPr>
              <w:t>Big 4-Trained Finance Professionals. Offshore Economics. Zero Compromise.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