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SABANILLA.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SABANILLA.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numPr>
          <w:ilvl w:val="0"/>
          <w:numId w:val="2"/>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numPr>
          <w:ilvl w:val="0"/>
          <w:numId w:val="2"/>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2"/>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numPr>
          <w:ilvl w:val="0"/>
          <w:numId w:val="2"/>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2"/>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SABANILLA.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SABANILLA.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SATURACIÓN MICROSCÓPICA PROFUNDA (TAPADO INVISIBLE).</w:t>
      </w:r>
    </w:p>
    <w:p>
      <w:pPr>
        <w:numPr>
          <w:ilvl w:val="0"/>
          <w:numId w:val="3"/>
        </w:numPr>
        <w:spacing w:before="0" w:after="40" w:line="240" w:lineRule="auto"/>
        <w:jc w:val="both"/>
      </w:pPr>
      <w:r>
        <w:rPr>
          <w:rFonts w:ascii="Arial" w:hAnsi="Arial" w:cs="Arial" w:eastAsia="Arial"/>
          <w:b/>
          <w:sz w:val="20"/>
          <w:u w:val="none"/>
        </w:rPr>
        <w:t>AISLAMIENTO TÉRMICO INTERNO:</w:t>
      </w:r>
      <w:r>
        <w:rPr>
          <w:rFonts w:ascii="Arial" w:hAnsi="Arial" w:cs="Arial" w:eastAsia="Arial"/>
          <w:b w:val="0"/>
          <w:sz w:val="20"/>
          <w:u w:val="none"/>
        </w:rPr>
        <w:t xml:space="preserve"> SUSTITUIDO DEBIDO A LA DEGRADACIÓN DEBIDA A SU EXPOSICIÓN A LA INTEMPERIE, ACUMULACIÓN DE HUMEDAD CON MOHO O DESPRENDIMIENTO POR VIBRACIÓN.</w:t>
      </w:r>
    </w:p>
    <w:p>
      <w:pPr>
        <w:numPr>
          <w:ilvl w:val="0"/>
          <w:numId w:val="3"/>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numPr>
          <w:ilvl w:val="0"/>
          <w:numId w:val="3"/>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