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中医智能问询系统 — 项目技术方案设计</w:t>
      </w:r>
    </w:p>
    <w:p>
      <w:pPr>
        <w:pStyle w:val="IntenseQuote"/>
      </w:pPr>
      <w:r>
        <w:t>依据软件工程研究中的需求工程、架构权衡分析与实验验证等方法[7][8]，结合国家标准对开源治理与软件成分安全的要求[2][3]，以及成熟开源生态与敏捷迭代实践，对本项目进行技术方案设计与说明。本文参考文献著录格式参考 GB/T 7714—2015[1]。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1. 方法、技术与工具（工程化视角）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维度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采用的方法 / 工具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在本项目中的用途</w:t>
            </w:r>
          </w:p>
        </w:tc>
      </w:tr>
      <w:tr>
        <w:tc>
          <w:tcPr>
            <w:tcW w:type="dxa" w:w="2880"/>
          </w:tcPr>
          <w:p>
            <w:r/>
            <w:r>
              <w:t>需求与问题界定</w:t>
            </w:r>
          </w:p>
        </w:tc>
        <w:tc>
          <w:tcPr>
            <w:tcW w:type="dxa" w:w="2880"/>
          </w:tcPr>
          <w:p>
            <w:r/>
            <w:r>
              <w:t>用户故事、痛点清单、非功能需求（NFR）矩阵</w:t>
            </w:r>
          </w:p>
        </w:tc>
        <w:tc>
          <w:tcPr>
            <w:tcW w:type="dxa" w:w="2880"/>
          </w:tcPr>
          <w:p>
            <w:r/>
            <w:r>
              <w:t>区分「对话体验」「知识可信」「合规边界」「运维成本」等优先级</w:t>
            </w:r>
          </w:p>
        </w:tc>
      </w:tr>
      <w:tr>
        <w:tc>
          <w:tcPr>
            <w:tcW w:type="dxa" w:w="2880"/>
          </w:tcPr>
          <w:p>
            <w:r/>
            <w:r>
              <w:t>体系结构设计</w:t>
            </w:r>
          </w:p>
        </w:tc>
        <w:tc>
          <w:tcPr>
            <w:tcW w:type="dxa" w:w="2880"/>
          </w:tcPr>
          <w:p>
            <w:r/>
            <w:r>
              <w:t>C4 思维（上下文 / 容器 / 组件）、关注点分离[7]</w:t>
            </w:r>
          </w:p>
        </w:tc>
        <w:tc>
          <w:tcPr>
            <w:tcW w:type="dxa" w:w="2880"/>
          </w:tcPr>
          <w:p>
            <w:r/>
            <w:r>
              <w:t>前后端分离、领域模块划分（对话、知识库、方剂、MCP、认证）</w:t>
            </w:r>
          </w:p>
        </w:tc>
      </w:tr>
      <w:tr>
        <w:tc>
          <w:tcPr>
            <w:tcW w:type="dxa" w:w="2880"/>
          </w:tcPr>
          <w:p>
            <w:r/>
            <w:r>
              <w:t>风险与依赖治理</w:t>
            </w:r>
          </w:p>
        </w:tc>
        <w:tc>
          <w:tcPr>
            <w:tcW w:type="dxa" w:w="2880"/>
          </w:tcPr>
          <w:p>
            <w:r/>
            <w:r>
              <w:t>SBOM 意识、许可证合规、可替换适配层[2][3]</w:t>
            </w:r>
          </w:p>
        </w:tc>
        <w:tc>
          <w:tcPr>
            <w:tcW w:type="dxa" w:w="2880"/>
          </w:tcPr>
          <w:p>
            <w:r/>
            <w:r>
              <w:t>多厂商 LLM 统一工厂、向量库与嵌入抽象，降低供应商锁定</w:t>
            </w:r>
          </w:p>
        </w:tc>
      </w:tr>
      <w:tr>
        <w:tc>
          <w:tcPr>
            <w:tcW w:type="dxa" w:w="2880"/>
          </w:tcPr>
          <w:p>
            <w:r/>
            <w:r>
              <w:t>质量保障</w:t>
            </w:r>
          </w:p>
        </w:tc>
        <w:tc>
          <w:tcPr>
            <w:tcW w:type="dxa" w:w="2880"/>
          </w:tcPr>
          <w:p>
            <w:r/>
            <w:r>
              <w:t>自动化测试（pytest）、集成测试、契约文档</w:t>
            </w:r>
          </w:p>
        </w:tc>
        <w:tc>
          <w:tcPr>
            <w:tcW w:type="dxa" w:w="2880"/>
          </w:tcPr>
          <w:p>
            <w:r/>
            <w:r>
              <w:t>`backend/tests/`、`doc/frontend-integration.md` 等与接口演进同步</w:t>
            </w:r>
          </w:p>
        </w:tc>
      </w:tr>
      <w:tr>
        <w:tc>
          <w:tcPr>
            <w:tcW w:type="dxa" w:w="2880"/>
          </w:tcPr>
          <w:p>
            <w:r/>
            <w:r>
              <w:t>交付节奏</w:t>
            </w:r>
          </w:p>
        </w:tc>
        <w:tc>
          <w:tcPr>
            <w:tcW w:type="dxa" w:w="2880"/>
          </w:tcPr>
          <w:p>
            <w:r/>
            <w:r>
              <w:t>Scrum 式短迭代、可持续集成的小步提交[8]</w:t>
            </w:r>
          </w:p>
        </w:tc>
        <w:tc>
          <w:tcPr>
            <w:tcW w:type="dxa" w:w="2880"/>
          </w:tcPr>
          <w:p>
            <w:r/>
            <w:r>
              <w:t>每迭代交付可用增量（API、页面、Agent 工具）</w:t>
            </w:r>
          </w:p>
        </w:tc>
      </w:tr>
      <w:tr>
        <w:tc>
          <w:tcPr>
            <w:tcW w:type="dxa" w:w="2880"/>
          </w:tcPr>
          <w:p>
            <w:r/>
            <w:r>
              <w:t>基础设施即代码</w:t>
            </w:r>
          </w:p>
        </w:tc>
        <w:tc>
          <w:tcPr>
            <w:tcW w:type="dxa" w:w="2880"/>
          </w:tcPr>
          <w:p>
            <w:r/>
            <w:r>
              <w:t>Docker Compose、环境模板 `.env.example`</w:t>
            </w:r>
          </w:p>
        </w:tc>
        <w:tc>
          <w:tcPr>
            <w:tcW w:type="dxa" w:w="2880"/>
          </w:tcPr>
          <w:p>
            <w:r/>
            <w:r>
              <w:t>一键拉起 PostgreSQL / Redis / Qdrant，降低协作门槛</w:t>
            </w:r>
          </w:p>
        </w:tc>
      </w:tr>
    </w:tbl>
    <w:p>
      <w:r>
        <w:t>————————————————————————————————</w:t>
      </w:r>
    </w:p>
    <w:p>
      <w:pPr>
        <w:pStyle w:val="Heading2"/>
      </w:pPr>
      <w:r>
        <w:t>2. 需求分析与痛点</w:t>
      </w:r>
    </w:p>
    <w:p>
      <w:r/>
      <w:r>
        <w:rPr>
          <w:b/>
        </w:rPr>
        <w:t>业务与用户需求（摘要）</w:t>
      </w:r>
      <w:r/>
    </w:p>
    <w:p>
      <w:pPr>
        <w:pStyle w:val="ListBullet"/>
      </w:pPr>
      <w:r>
        <w:t>面向中医主题的</w:t>
      </w:r>
      <w:r>
        <w:rPr>
          <w:b/>
        </w:rPr>
        <w:t>自然语言问询</w:t>
      </w:r>
      <w:r>
        <w:t>，支持流式输出，响应要快、可中断、可追问。</w:t>
      </w:r>
    </w:p>
    <w:p>
      <w:pPr>
        <w:pStyle w:val="ListBullet"/>
      </w:pPr>
      <w:r>
        <w:t>需要结合</w:t>
      </w:r>
      <w:r>
        <w:rPr>
          <w:b/>
        </w:rPr>
        <w:t>机构或个人知识库</w:t>
      </w:r>
      <w:r>
        <w:t>（条文、讲义、内部规范等），回答有据可查，减少“凭空编造”。</w:t>
      </w:r>
    </w:p>
    <w:p>
      <w:pPr>
        <w:pStyle w:val="ListBullet"/>
      </w:pPr>
      <w:r/>
      <w:r>
        <w:rPr>
          <w:b/>
        </w:rPr>
        <w:t>方剂与结构化病症线索</w:t>
      </w:r>
      <w:r>
        <w:t>需要可检索、可解释，与“纯向量闲聊”区分开。</w:t>
      </w:r>
    </w:p>
    <w:p>
      <w:pPr>
        <w:pStyle w:val="ListBullet"/>
      </w:pPr>
      <w:r>
        <w:t>在合规上明确</w:t>
      </w:r>
      <w:r>
        <w:rPr>
          <w:b/>
        </w:rPr>
        <w:t>非诊疗声明</w:t>
      </w:r>
      <w:r>
        <w:t>：产品定位为信息辅助与科普导向，符合生成式人工智能服务相关合规要求[6]，不能替代执业医师诊断处方。</w:t>
      </w:r>
    </w:p>
    <w:p>
      <w:r/>
      <w:r>
        <w:rPr>
          <w:b/>
        </w:rPr>
        <w:t>主要痛点</w:t>
      </w:r>
      <w:r/>
    </w:p>
    <w:p>
      <w:pPr>
        <w:pStyle w:val="ListNumber"/>
      </w:pPr>
      <w:r/>
      <w:r>
        <w:rPr>
          <w:b/>
        </w:rPr>
        <w:t>幻觉与可信度</w:t>
      </w:r>
      <w:r>
        <w:t>：通用大模型缺乏领域材料时易泛泛而谈；采用</w:t>
      </w:r>
      <w:r>
        <w:rPr>
          <w:b/>
        </w:rPr>
        <w:t>检索增强生成（RAG）</w:t>
      </w:r>
      <w:r>
        <w:t>及工具化检索抑制胡编[4][5]。</w:t>
      </w:r>
    </w:p>
    <w:p>
      <w:pPr>
        <w:pStyle w:val="ListNumber"/>
      </w:pPr>
      <w:r/>
      <w:r>
        <w:rPr>
          <w:b/>
        </w:rPr>
        <w:t>知识与业务的两种形态</w:t>
      </w:r>
      <w:r>
        <w:t>：非结构化文档（PDF/DOCX）与结构化方剂数据并存，一套模型难以兼顾，需</w:t>
      </w:r>
      <w:r>
        <w:rPr>
          <w:b/>
        </w:rPr>
        <w:t>分治架构</w:t>
      </w:r>
      <w:r>
        <w:t>（向量域与关系库域解耦）。</w:t>
      </w:r>
    </w:p>
    <w:p>
      <w:pPr>
        <w:pStyle w:val="ListNumber"/>
      </w:pPr>
      <w:r/>
      <w:r>
        <w:rPr>
          <w:b/>
        </w:rPr>
        <w:t>集成扩展</w:t>
      </w:r>
      <w:r>
        <w:t xml:space="preserve">：机构内常有自研工具、搜索、数据库；固定死工具集无法演进，引入 </w:t>
      </w:r>
      <w:r>
        <w:rPr>
          <w:b/>
        </w:rPr>
        <w:t>MCP（Model Context Protocol）</w:t>
      </w:r>
      <w:r>
        <w:t xml:space="preserve"> 实现可插拔工具集成[9]。</w:t>
      </w:r>
    </w:p>
    <w:p>
      <w:pPr>
        <w:pStyle w:val="ListNumber"/>
      </w:pPr>
      <w:r/>
      <w:r>
        <w:rPr>
          <w:b/>
        </w:rPr>
        <w:t>成本与延迟</w:t>
      </w:r>
      <w:r>
        <w:t>：长文档入库、嵌入、重排消耗算力与时间；大文件需</w:t>
      </w:r>
      <w:r>
        <w:rPr>
          <w:b/>
        </w:rPr>
        <w:t>异步任务</w:t>
      </w:r>
      <w:r>
        <w:t>（Celery 或后台任务）避免阻塞在线请求。</w:t>
      </w:r>
    </w:p>
    <w:p>
      <w:pPr>
        <w:pStyle w:val="ListNumber"/>
      </w:pPr>
      <w:r/>
      <w:r>
        <w:rPr>
          <w:b/>
        </w:rPr>
        <w:t>多模型与可运维</w:t>
      </w:r>
      <w:r>
        <w:t xml:space="preserve">：不同环境 API Key、模型名不同；通过 </w:t>
      </w:r>
      <w:r>
        <w:rPr>
          <w:b/>
        </w:rPr>
        <w:t>工厂模式</w:t>
      </w:r>
      <w:r>
        <w:t xml:space="preserve"> 抽象多厂商对话模型接口，降低替换成本（与模块化及稳定接口边界的体系结构实践一致[7]）。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3. 软件体系结构与技术方案</w:t>
      </w:r>
    </w:p>
    <w:p>
      <w:pPr>
        <w:pStyle w:val="Heading3"/>
      </w:pPr>
      <w:r>
        <w:t>3.1 总体架构（逻辑视图）</w:t>
      </w:r>
    </w:p>
    <w:p>
      <w:r>
        <w:t xml:space="preserve">采用 </w:t>
      </w:r>
      <w:r>
        <w:rPr>
          <w:b/>
        </w:rPr>
        <w:t>前后端分离 + BFF 式后端 API</w:t>
      </w:r>
      <w:r>
        <w:t>[10][11]：</w:t>
      </w:r>
    </w:p>
    <w:p>
      <w:pPr>
        <w:pStyle w:val="ListBullet"/>
      </w:pPr>
      <w:r/>
      <w:r>
        <w:rPr>
          <w:b/>
        </w:rPr>
        <w:t>前端容器</w:t>
      </w:r>
      <w:r>
        <w:t>：Web 应用（Next.js），负责会话界面、设置页（知识库、Agent、MCP）、认证态与流式消费展示。</w:t>
      </w:r>
    </w:p>
    <w:p>
      <w:pPr>
        <w:pStyle w:val="ListBullet"/>
      </w:pPr>
      <w:r/>
      <w:r>
        <w:rPr>
          <w:b/>
        </w:rPr>
        <w:t>后端容器</w:t>
      </w:r>
      <w:r>
        <w:t>：FastAPI 应用，汇聚 HTTP/SSE、业务规则、Agent 编排、持久化与任务派发。</w:t>
      </w:r>
    </w:p>
    <w:p>
      <w:pPr>
        <w:pStyle w:val="ListBullet"/>
      </w:pPr>
      <w:r/>
      <w:r>
        <w:rPr>
          <w:b/>
        </w:rPr>
        <w:t>数据与中间件</w:t>
      </w:r>
      <w:r>
        <w:t>：PostgreSQL（会话、用户、方剂与业务表）、Redis（缓存/消息）、Qdrant（向量检索）。</w:t>
      </w:r>
    </w:p>
    <w:p>
      <w:pPr>
        <w:pStyle w:val="ListBullet"/>
      </w:pPr>
      <w:r/>
      <w:r>
        <w:rPr>
          <w:b/>
        </w:rPr>
        <w:t>异步工作者</w:t>
      </w:r>
      <w:r>
        <w:t>：可选 Celery Worker 执行重负载入库；也可降级为进程内 `BackgroundTasks`。</w:t>
      </w:r>
    </w:p>
    <w:p>
      <w:r/>
      <w:r>
        <w:rPr>
          <w:b/>
        </w:rPr>
        <w:t>图1</w:t>
      </w:r>
      <w:r>
        <w:t xml:space="preserve"> 给出与上述叙述一致的逻辑架构。图源采用绘图脚本生成 </w:t>
      </w:r>
      <w:r>
        <w:rPr>
          <w:b/>
        </w:rPr>
        <w:t>SVG/PDF 矢量图</w:t>
      </w:r>
      <w:r>
        <w:t xml:space="preserve">（满足学术与技术文档制图规范），路径见 `doc/assets/architecture-system.svg`；亦可使用同目录 </w:t>
      </w:r>
      <w:r>
        <w:rPr>
          <w:b/>
        </w:rPr>
        <w:t>PNG</w:t>
      </w:r>
      <w:r>
        <w:t>（300 dpi）插入 Word。</w:t>
      </w:r>
    </w:p>
    <w:p>
      <w:r>
        <w:drawing>
          <wp:inline xmlns:a="http://schemas.openxmlformats.org/drawingml/2006/main" xmlns:pic="http://schemas.openxmlformats.org/drawingml/2006/picture">
            <wp:extent cx="5669280" cy="3691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syst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91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0"/>
        </w:rPr>
        <w:t>图1 系统总体架构（逻辑视图）</w:t>
      </w:r>
    </w:p>
    <w:p>
      <w:pPr>
        <w:pStyle w:val="Heading3"/>
      </w:pPr>
      <w:r>
        <w:t>3.2 核心组件与职责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组件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职责</w:t>
            </w:r>
          </w:p>
        </w:tc>
        <w:tc>
          <w:tcPr>
            <w:tcW w:type="dxa" w:w="288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开源基础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对话与流式</w:t>
            </w:r>
            <w:r/>
          </w:p>
        </w:tc>
        <w:tc>
          <w:tcPr>
            <w:tcW w:type="dxa" w:w="2880"/>
          </w:tcPr>
          <w:p>
            <w:r/>
            <w:r>
              <w:t>SSE、会话与消息持久化、策略提示（合规文案）</w:t>
            </w:r>
          </w:p>
        </w:tc>
        <w:tc>
          <w:tcPr>
            <w:tcW w:type="dxa" w:w="2880"/>
          </w:tcPr>
          <w:p>
            <w:r/>
            <w:r>
              <w:t>FastAPI、Uvicorn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Agent 层</w:t>
            </w:r>
            <w:r/>
          </w:p>
        </w:tc>
        <w:tc>
          <w:tcPr>
            <w:tcW w:type="dxa" w:w="2880"/>
          </w:tcPr>
          <w:p>
            <w:r/>
            <w:r>
              <w:t>ReAct 编排、工具注册与调用</w:t>
            </w:r>
          </w:p>
        </w:tc>
        <w:tc>
          <w:tcPr>
            <w:tcW w:type="dxa" w:w="2880"/>
          </w:tcPr>
          <w:p>
            <w:r/>
            <w:r>
              <w:t>LangGraph、LangChain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RAG 管道</w:t>
            </w:r>
            <w:r/>
          </w:p>
        </w:tc>
        <w:tc>
          <w:tcPr>
            <w:tcW w:type="dxa" w:w="2880"/>
          </w:tcPr>
          <w:p>
            <w:r/>
            <w:r>
              <w:t>文档解析、分块、嵌入、向量召回、可选重排序[4][5]</w:t>
            </w:r>
          </w:p>
        </w:tc>
        <w:tc>
          <w:tcPr>
            <w:tcW w:type="dxa" w:w="2880"/>
          </w:tcPr>
          <w:p>
            <w:r/>
            <w:r>
              <w:t>pypdf、python-docx、Qdrant 客户端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方剂子域</w:t>
            </w:r>
            <w:r/>
          </w:p>
        </w:tc>
        <w:tc>
          <w:tcPr>
            <w:tcW w:type="dxa" w:w="2880"/>
          </w:tcPr>
          <w:p>
            <w:r/>
            <w:r>
              <w:t>结构化存储、关键词 + 相似度 + 全文检索融合</w:t>
            </w:r>
          </w:p>
        </w:tc>
        <w:tc>
          <w:tcPr>
            <w:tcW w:type="dxa" w:w="2880"/>
          </w:tcPr>
          <w:p>
            <w:r/>
            <w:r>
              <w:t>PostgreSQL、`pg_trgm` 等扩展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MCP 集成</w:t>
            </w:r>
            <w:r/>
          </w:p>
        </w:tc>
        <w:tc>
          <w:tcPr>
            <w:tcW w:type="dxa" w:w="2880"/>
          </w:tcPr>
          <w:p>
            <w:r/>
            <w:r>
              <w:t>服务注册、健康探测、工具桥接到 LangChain</w:t>
            </w:r>
          </w:p>
        </w:tc>
        <w:tc>
          <w:tcPr>
            <w:tcW w:type="dxa" w:w="2880"/>
          </w:tcPr>
          <w:p>
            <w:r/>
            <w:r>
              <w:t>`mcp` 官方 Python 包[9]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认证</w:t>
            </w:r>
            <w:r/>
          </w:p>
        </w:tc>
        <w:tc>
          <w:tcPr>
            <w:tcW w:type="dxa" w:w="2880"/>
          </w:tcPr>
          <w:p>
            <w:r/>
            <w:r>
              <w:t>注册登录、JWT；可扩展 OAuth</w:t>
            </w:r>
          </w:p>
        </w:tc>
        <w:tc>
          <w:tcPr>
            <w:tcW w:type="dxa" w:w="2880"/>
          </w:tcPr>
          <w:p>
            <w:r/>
            <w:r>
              <w:t>生态惯例实现</w:t>
            </w:r>
          </w:p>
        </w:tc>
      </w:tr>
    </w:tbl>
    <w:p>
      <w:pPr>
        <w:pStyle w:val="Heading3"/>
      </w:pPr>
      <w:r>
        <w:t>3.3 关键技术决策（权衡摘要）</w:t>
      </w:r>
    </w:p>
    <w:p>
      <w:pPr>
        <w:pStyle w:val="ListNumber"/>
      </w:pPr>
      <w:r/>
      <w:r>
        <w:rPr>
          <w:b/>
        </w:rPr>
        <w:t>LangGraph ReAct + 显式工具</w:t>
      </w:r>
      <w:r>
        <w:t>：在可解释性与扩展性之间取得平衡；工具即「能力边界」，便于审计与教学演示。</w:t>
      </w:r>
    </w:p>
    <w:p>
      <w:pPr>
        <w:pStyle w:val="ListNumber"/>
      </w:pPr>
      <w:r/>
      <w:r>
        <w:rPr>
          <w:b/>
        </w:rPr>
        <w:t>向量库选 Qdrant</w:t>
      </w:r>
      <w:r>
        <w:t>：成熟、易 Docker 化，社区活跃；与业务库 PostgreSQL 各司其职。</w:t>
      </w:r>
    </w:p>
    <w:p>
      <w:pPr>
        <w:pStyle w:val="ListNumber"/>
      </w:pPr>
      <w:r/>
      <w:r>
        <w:rPr>
          <w:b/>
        </w:rPr>
        <w:t>多厂商 LLM 经 `chat_factory` 统一出口</w:t>
      </w:r>
      <w:r>
        <w:t>：对接 OpenAI 兼容与各厂商 SDK，便于对比实验与灾备切换。</w:t>
      </w:r>
    </w:p>
    <w:p>
      <w:pPr>
        <w:pStyle w:val="ListNumber"/>
      </w:pPr>
      <w:r/>
      <w:r>
        <w:rPr>
          <w:b/>
        </w:rPr>
        <w:t>异步入库可选</w:t>
      </w:r>
      <w:r>
        <w:t>：默认开发环境可关 Celery；生产或大文件场景开 Worker，符合</w:t>
      </w:r>
      <w:r>
        <w:rPr>
          <w:b/>
        </w:rPr>
        <w:t>渐进式复杂度</w:t>
      </w:r>
      <w:r>
        <w:t>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4. 开源软件思想与成熟项目运用</w:t>
      </w:r>
    </w:p>
    <w:p>
      <w:pPr>
        <w:pStyle w:val="ListBullet"/>
      </w:pPr>
      <w:r/>
      <w:r>
        <w:rPr>
          <w:b/>
        </w:rPr>
        <w:t>站在巨人肩上</w:t>
      </w:r>
      <w:r>
        <w:t xml:space="preserve">：不重复造「HTTP 框架、向量引擎、Agent 编排、文档解析」等通用层，以 </w:t>
      </w:r>
      <w:r>
        <w:rPr>
          <w:b/>
        </w:rPr>
        <w:t>Apache-2.0 / MIT</w:t>
      </w:r>
      <w:r>
        <w:t xml:space="preserve"> 等宽松许可的主流项目为基座；许可证治理可参考国家标准中的开源许可证框架思路[2]。</w:t>
      </w:r>
    </w:p>
    <w:p>
      <w:pPr>
        <w:pStyle w:val="ListBullet"/>
      </w:pPr>
      <w:r/>
      <w:r>
        <w:rPr>
          <w:b/>
        </w:rPr>
        <w:t>开放互操作</w:t>
      </w:r>
      <w:r>
        <w:t xml:space="preserve">：通过 </w:t>
      </w:r>
      <w:r>
        <w:rPr>
          <w:b/>
        </w:rPr>
        <w:t>MCP</w:t>
      </w:r>
      <w:r>
        <w:t xml:space="preserve"> 将“工具”从单体代码中解耦[9]，符合“可替换、可组合”的互操作理念。</w:t>
      </w:r>
    </w:p>
    <w:p>
      <w:pPr>
        <w:pStyle w:val="ListBullet"/>
      </w:pPr>
      <w:r/>
      <w:r>
        <w:rPr>
          <w:b/>
        </w:rPr>
        <w:t>可审计与合规</w:t>
      </w:r>
      <w:r>
        <w:t>：在 README 与依赖清单中可追溯主要第三方组件；开源成分安全评价方法强调来源、质量与知识产权等要素[3]。敏感配置经环境变量注入，仓库内仅保留 `.env.example`。</w:t>
      </w:r>
    </w:p>
    <w:p>
      <w:pPr>
        <w:pStyle w:val="ListBullet"/>
      </w:pPr>
      <w:r/>
      <w:r>
        <w:rPr>
          <w:b/>
        </w:rPr>
        <w:t>许可证策略</w:t>
      </w:r>
      <w:r>
        <w:t xml:space="preserve">：核心依赖以 OSI 认可的主流许可为主；若课程或机构要求本土化表述，可单独评估 </w:t>
      </w:r>
      <w:r>
        <w:rPr>
          <w:b/>
        </w:rPr>
        <w:t>Mulan PSL v2</w:t>
      </w:r>
      <w:r>
        <w:t xml:space="preserve"> 等对</w:t>
      </w:r>
      <w:r>
        <w:rPr>
          <w:b/>
        </w:rPr>
        <w:t>项目仓库声明层</w:t>
      </w:r>
      <w:r>
        <w:t>的适用性（与依赖栈许可区分）。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5. 敏捷开发模式落地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实践</w:t>
            </w:r>
          </w:p>
        </w:tc>
        <w:tc>
          <w:tcPr>
            <w:tcW w:type="dxa" w:w="4320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Product Backlog</w:t>
            </w:r>
            <w:r/>
          </w:p>
        </w:tc>
        <w:tc>
          <w:tcPr>
            <w:tcW w:type="dxa" w:w="4320"/>
          </w:tcPr>
          <w:p>
            <w:r/>
            <w:r>
              <w:t>条目按价值排序：例如「流式可用 &gt; RAG 入库 &gt; 方剂工具 &gt; MCP 面板」。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Sprint / 迭代</w:t>
            </w:r>
            <w:r/>
          </w:p>
        </w:tc>
        <w:tc>
          <w:tcPr>
            <w:tcW w:type="dxa" w:w="4320"/>
          </w:tcPr>
          <w:p>
            <w:r/>
            <w:r>
              <w:t>建议 1～2 周；每迭代结束有可演示的增量与更新的 `doc/` 契约。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Definition of Done</w:t>
            </w:r>
            <w:r/>
          </w:p>
        </w:tc>
        <w:tc>
          <w:tcPr>
            <w:tcW w:type="dxa" w:w="4320"/>
          </w:tcPr>
          <w:p>
            <w:r/>
            <w:r>
              <w:t>功能可用、核心路径有测试或手工用例记录、环境变量与 Compose 不破坏开箱体验。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持续集成</w:t>
            </w:r>
            <w:r/>
          </w:p>
        </w:tc>
        <w:tc>
          <w:tcPr>
            <w:tcW w:type="dxa" w:w="4320"/>
          </w:tcPr>
          <w:p>
            <w:r/>
            <w:r>
              <w:t>提交即跑 `pytest`；前后端变更同步更新集成文档。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回顾改进</w:t>
            </w:r>
            <w:r/>
          </w:p>
        </w:tc>
        <w:tc>
          <w:tcPr>
            <w:tcW w:type="dxa" w:w="4320"/>
          </w:tcPr>
          <w:p>
            <w:r/>
            <w:r>
              <w:t>每迭代回顾「幻觉案例、检索失败、延迟瓶颈」，反哺分块策略、重排开关与提示词。</w:t>
            </w:r>
          </w:p>
        </w:tc>
      </w:tr>
    </w:tbl>
    <w:p>
      <w:r/>
      <w:r>
        <w:rPr>
          <w:b/>
        </w:rPr>
        <w:t>与研究的衔接</w:t>
      </w:r>
      <w:r>
        <w:t>：可将每一迭代假设（例如“加重排是否显著降低无关片段”）记录为小型实验，用固定问集做前后对比，形成可复现结论——体现软件工程研究中的</w:t>
      </w:r>
      <w:r>
        <w:rPr>
          <w:b/>
        </w:rPr>
        <w:t>度量驱动改进</w:t>
      </w:r>
      <w:r>
        <w:t>（与经验主义软件工程中的迭代—度量闭环一致[8]）。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6. 非功能需求与演进方向</w:t>
      </w:r>
    </w:p>
    <w:p>
      <w:pPr>
        <w:pStyle w:val="ListBullet"/>
      </w:pPr>
      <w:r/>
      <w:r>
        <w:rPr>
          <w:b/>
        </w:rPr>
        <w:t>性能</w:t>
      </w:r>
      <w:r>
        <w:t>：流式首包时间、Qdrant 召回延迟、重排开关的 trade-off。</w:t>
      </w:r>
    </w:p>
    <w:p>
      <w:pPr>
        <w:pStyle w:val="ListBullet"/>
      </w:pPr>
      <w:r/>
      <w:r>
        <w:rPr>
          <w:b/>
        </w:rPr>
        <w:t>安全</w:t>
      </w:r>
      <w:r>
        <w:t>：JWT 与 HTTPS、服务端校验、MCP 外连的白名单与超时策略。</w:t>
      </w:r>
    </w:p>
    <w:p>
      <w:pPr>
        <w:pStyle w:val="ListBullet"/>
      </w:pPr>
      <w:r/>
      <w:r>
        <w:rPr>
          <w:b/>
        </w:rPr>
        <w:t>可用性</w:t>
      </w:r>
      <w:r>
        <w:t>：Docker Compose 一键环境；配置热切换减少重启次数。</w:t>
      </w:r>
    </w:p>
    <w:p>
      <w:pPr>
        <w:pStyle w:val="ListBullet"/>
      </w:pPr>
      <w:r/>
      <w:r>
        <w:rPr>
          <w:b/>
        </w:rPr>
        <w:t>演进</w:t>
      </w:r>
      <w:r>
        <w:t>：更多领域工具（饮片、经络穴名规范化）、评测集与自动回归；多租户与审计日志可按机构需求迭代。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7. 结论</w:t>
      </w:r>
    </w:p>
    <w:p>
      <w:r>
        <w:t>本方案以</w:t>
      </w:r>
      <w:r>
        <w:rPr>
          <w:b/>
        </w:rPr>
        <w:t>需求与痛点驱动</w:t>
      </w:r>
      <w:r>
        <w:t>，用</w:t>
      </w:r>
      <w:r>
        <w:rPr>
          <w:b/>
        </w:rPr>
        <w:t>分层与分域</w:t>
      </w:r>
      <w:r>
        <w:t>的体系结构[7]承载对话、RAG[4][5]、结构化方剂和 MCP 扩展[9]；以</w:t>
      </w:r>
      <w:r>
        <w:rPr>
          <w:b/>
        </w:rPr>
        <w:t>成熟开源栈</w:t>
      </w:r>
      <w:r>
        <w:t>降低实现风险，以</w:t>
      </w:r>
      <w:r>
        <w:rPr>
          <w:b/>
        </w:rPr>
        <w:t>敏捷迭代与自动化验证</w:t>
      </w:r>
      <w:r>
        <w:t>保证交付可持续[8]。该设计兼顾课程/课题的</w:t>
      </w:r>
      <w:r>
        <w:rPr>
          <w:b/>
        </w:rPr>
        <w:t>可演示性</w:t>
      </w:r>
      <w:r>
        <w:t>与实际工程中的</w:t>
      </w:r>
      <w:r>
        <w:rPr>
          <w:b/>
        </w:rPr>
        <w:t>可运维、可替换、可合规</w:t>
      </w:r>
      <w:r>
        <w:t>要求[2][3][6]，可作为项目实施与论文/报告的技术路线章节基础。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8. 参考文献</w:t>
      </w:r>
    </w:p>
    <w:p>
      <w:r>
        <w:t>[1] 国家标准化管理委员会. GB/T 7714—2015 信息与文献 参考文献著录规则[S]. 北京: 中国标准出版社, 2015.</w:t>
      </w:r>
    </w:p>
    <w:p>
      <w:r>
        <w:t>[2] 全国信息技术标准化技术委员会. GB/T 44272—2024 信息技术 开源 开源许可证框架[S]. 北京: 中国标准出版社, 2024.</w:t>
      </w:r>
    </w:p>
    <w:p>
      <w:r>
        <w:t>[3] 国家市场监督管理总局, 国家标准化管理委员会. GB/T 43848—2024 网络安全技术 软件产品开源代码安全评价方法[S]. 北京: 中国标准出版社, 2024.</w:t>
      </w:r>
    </w:p>
    <w:p>
      <w:r>
        <w:t>[4] LEWIS P, PEREZ E, PIKTUS A, et al. Retrieval-augmented generation for knowledge-intensive NLP tasks[C]// Proceedings of the 34th International Conference on Neural Information Processing Systems. Curran Associates Inc., 2020: 9459-9474.</w:t>
      </w:r>
    </w:p>
    <w:p>
      <w:r>
        <w:t>[5] GAO Y, XIONG Y, GAO X, et al. Retrieval-augmented generation for large language models: a survey[J/OL]. arXiv, 2023, 2312.10997. https://doi.org/10.48550/arXiv.2312.10997.</w:t>
      </w:r>
    </w:p>
    <w:p>
      <w:r>
        <w:t>[6] 国家互联网信息办公室, 国家发展和改革委员会, 教育部, 科学技术部, 工业和信息化部, 公安部, 国家广播电视总局. 生成式人工智能服务管理暂行办法[Z]. 2023. （国家互联网信息办公室等七部门联合公布，2023-07-13 公布，2023-08-15 施行.）</w:t>
      </w:r>
    </w:p>
    <w:p>
      <w:r>
        <w:t>[7] BASS L, CLEMENTS P, KAZMAN R. Software architecture in practice[M]. 3rd ed. Upper Saddle River: Addison-Wesley, 2012.</w:t>
      </w:r>
    </w:p>
    <w:p>
      <w:r>
        <w:t>[8] SCHWABER K, SUTHERLAND J. The Scrum Guide[EB/OL]. Scrum.org, 2020. https://scrumguides.org/scrum-guide.html.</w:t>
      </w:r>
    </w:p>
    <w:p>
      <w:r>
        <w:t>[9] Anthropic, PBC. Model Context Protocol (MCP)[EB/OL]. 2024. https://modelcontextprotocol.io/.</w:t>
      </w:r>
    </w:p>
    <w:p>
      <w:r>
        <w:t>[10] RAMÍREZ S. FastAPI: modern, high-performance web framework for building APIs[EB/OL]. 2024. https://fastapi.tiangolo.com/.</w:t>
      </w:r>
    </w:p>
    <w:p>
      <w:r>
        <w:t>[11] Vercel Inc. Next.js documentation[EB/OL]. 2024. https://nextjs.org/docs.</w:t>
      </w:r>
    </w:p>
    <w:p>
      <w:r>
        <w:t>[12] 国家中医药管理局. “十四五”中医药信息化发展规划[Z]. 2022.</w:t>
      </w:r>
    </w:p>
    <w:p>
      <w:r>
        <w:t>————————————————————————————————</w:t>
      </w:r>
    </w:p>
    <w:p>
      <w:pPr>
        <w:pStyle w:val="Heading2"/>
      </w:pPr>
      <w:r>
        <w:t>9. 文档版本管理与变更日志</w:t>
      </w:r>
    </w:p>
    <w:p>
      <w:r/>
      <w:r>
        <w:rPr>
          <w:b/>
        </w:rPr>
        <w:t>版本策略</w:t>
      </w:r>
      <w:r>
        <w:t xml:space="preserve">：主版本号 </w:t>
      </w:r>
      <w:r>
        <w:rPr>
          <w:b/>
        </w:rPr>
        <w:t>.</w:t>
      </w:r>
      <w:r>
        <w:t xml:space="preserve"> 次版本号 </w:t>
      </w:r>
      <w:r>
        <w:rPr>
          <w:b/>
        </w:rPr>
        <w:t>.</w:t>
      </w:r>
      <w:r>
        <w:t xml:space="preserve"> 修订号（语义化思想）；与本技术方案正文紧密相关的表结构、对外 API、架构容器边界变更记为</w:t>
      </w:r>
      <w:r>
        <w:rPr>
          <w:b/>
        </w:rPr>
        <w:t>次版本</w:t>
      </w:r>
      <w:r>
        <w:t>递增；错字与引用勘误记为</w:t>
      </w:r>
      <w:r>
        <w:rPr>
          <w:b/>
        </w:rPr>
        <w:t>修订号</w:t>
      </w:r>
      <w:r>
        <w:t>递增。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版本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日期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变更类型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变更摘要</w:t>
            </w:r>
          </w:p>
        </w:tc>
        <w:tc>
          <w:tcPr>
            <w:tcW w:type="dxa" w:w="1728"/>
            <w:shd w:val="clear" w:fill="E7E6E6"/>
          </w:tcPr>
          <w:p>
            <w:r>
              <w:rPr>
                <w:b/>
              </w:rPr>
            </w:r>
            <w:r>
              <w:rPr>
                <w:b/>
              </w:rPr>
              <w:t>影响范围</w:t>
            </w:r>
          </w:p>
        </w:tc>
      </w:tr>
      <w:tr>
        <w:tc>
          <w:tcPr>
            <w:tcW w:type="dxa" w:w="1728"/>
          </w:tcPr>
          <w:p>
            <w:r/>
            <w:r>
              <w:t>1.0.0</w:t>
            </w:r>
          </w:p>
        </w:tc>
        <w:tc>
          <w:tcPr>
            <w:tcW w:type="dxa" w:w="1728"/>
          </w:tcPr>
          <w:p>
            <w:r/>
            <w:r>
              <w:t>2026-05-01</w:t>
            </w:r>
          </w:p>
        </w:tc>
        <w:tc>
          <w:tcPr>
            <w:tcW w:type="dxa" w:w="1728"/>
          </w:tcPr>
          <w:p>
            <w:r/>
            <w:r>
              <w:t>创建</w:t>
            </w:r>
          </w:p>
        </w:tc>
        <w:tc>
          <w:tcPr>
            <w:tcW w:type="dxa" w:w="1728"/>
          </w:tcPr>
          <w:p>
            <w:r/>
            <w:r>
              <w:t>初稿：方法表、需求痛点、ASCII 示意架构、敏捷与非功能需求、结论</w:t>
            </w:r>
          </w:p>
        </w:tc>
        <w:tc>
          <w:tcPr>
            <w:tcW w:type="dxa" w:w="1728"/>
          </w:tcPr>
          <w:p>
            <w:r/>
            <w:r>
              <w:t>全文</w:t>
            </w:r>
          </w:p>
        </w:tc>
      </w:tr>
      <w:tr>
        <w:tc>
          <w:tcPr>
            <w:tcW w:type="dxa" w:w="1728"/>
          </w:tcPr>
          <w:p>
            <w:r/>
            <w:r>
              <w:t>1.1.0</w:t>
            </w:r>
          </w:p>
        </w:tc>
        <w:tc>
          <w:tcPr>
            <w:tcW w:type="dxa" w:w="1728"/>
          </w:tcPr>
          <w:p>
            <w:r/>
            <w:r>
              <w:t>2026-05-13</w:t>
            </w:r>
          </w:p>
        </w:tc>
        <w:tc>
          <w:tcPr>
            <w:tcW w:type="dxa" w:w="1728"/>
          </w:tcPr>
          <w:p>
            <w:r/>
            <w:r>
              <w:t>重大修订</w:t>
            </w:r>
          </w:p>
        </w:tc>
        <w:tc>
          <w:tcPr>
            <w:tcW w:type="dxa" w:w="1728"/>
          </w:tcPr>
          <w:p>
            <w:r/>
            <w:r>
              <w:t>以矢量图（图1）替代字符画；增补≥10 条参考文献并在正文标注引用；新增版本管理与变更日志</w:t>
            </w:r>
          </w:p>
        </w:tc>
        <w:tc>
          <w:tcPr>
            <w:tcW w:type="dxa" w:w="1728"/>
          </w:tcPr>
          <w:p>
            <w:r/>
            <w:r>
              <w:t>§3.1、§8、§9</w:t>
            </w:r>
          </w:p>
        </w:tc>
      </w:tr>
    </w:tbl>
    <w:p>
      <w:r/>
      <w:r>
        <w:rPr>
          <w:b/>
        </w:rPr>
        <w:t>同步要求</w:t>
      </w:r>
      <w:r>
        <w:t>：当 `README.md` 中技术栈或 `doc/frontend-integration.md` 契约发生重大变更时，应在同一迭代内更新本文件对应小节，并在上表追加一行变更记录。</w:t>
      </w:r>
    </w:p>
    <w:p>
      <w:r/>
      <w:r>
        <w:rPr>
          <w:b/>
        </w:rPr>
        <w:t>导出 Word</w:t>
      </w:r>
      <w:r>
        <w:t>：执行 `python3 doc/export_technical_design_docx.py`；若图文件缺失，请先运行 `python3 doc/assets/generate_architecture_figure.py`。</w:t>
      </w:r>
    </w:p>
    <w:p>
      <w:r/>
      <w:r>
        <w:rPr>
          <w:b/>
        </w:rPr>
        <w:t>当前文档版本</w:t>
      </w:r>
      <w:r>
        <w:t>：1.1.0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