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97F2" w14:textId="747B8712" w:rsidR="00EB2B47" w:rsidRPr="00EB2B47" w:rsidRDefault="00EB2B47" w:rsidP="00EB2B47">
      <w:pPr>
        <w:jc w:val="center"/>
        <w:rPr>
          <w:rFonts w:ascii="Arial" w:hAnsi="Arial" w:cs="Arial"/>
          <w:sz w:val="32"/>
          <w:szCs w:val="32"/>
        </w:rPr>
      </w:pPr>
      <w:r w:rsidRPr="00EB2B47">
        <w:rPr>
          <w:rFonts w:ascii="Arial" w:hAnsi="Arial" w:cs="Arial"/>
          <w:sz w:val="32"/>
          <w:szCs w:val="32"/>
        </w:rPr>
        <w:t>Coding guide</w:t>
      </w:r>
    </w:p>
    <w:p w14:paraId="4FBBC6D1" w14:textId="56D76F4C" w:rsidR="00081A7A" w:rsidRPr="00EB2B47" w:rsidRDefault="00081A7A">
      <w:pPr>
        <w:rPr>
          <w:rFonts w:ascii="Arial" w:hAnsi="Arial" w:cs="Arial"/>
          <w:sz w:val="24"/>
          <w:szCs w:val="24"/>
        </w:rPr>
      </w:pPr>
      <w:r w:rsidRPr="00EB2B47">
        <w:rPr>
          <w:rFonts w:ascii="Arial" w:hAnsi="Arial" w:cs="Arial"/>
          <w:sz w:val="24"/>
          <w:szCs w:val="24"/>
        </w:rPr>
        <w:t>Demographic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197"/>
        <w:gridCol w:w="5327"/>
      </w:tblGrid>
      <w:tr w:rsidR="00F6559C" w:rsidRPr="000D724D" w14:paraId="338C37CD" w14:textId="1A3471FC" w:rsidTr="00EB2B47">
        <w:tc>
          <w:tcPr>
            <w:tcW w:w="1838" w:type="dxa"/>
          </w:tcPr>
          <w:p w14:paraId="3A02B29D" w14:textId="50BC7E16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835" w:type="dxa"/>
          </w:tcPr>
          <w:p w14:paraId="148B0003" w14:textId="6CDD7A38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8789" w:type="dxa"/>
          </w:tcPr>
          <w:p w14:paraId="69058F69" w14:textId="78EEED37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6559C" w:rsidRPr="00EB2B47" w14:paraId="3D422925" w14:textId="77777777" w:rsidTr="00EB2B47">
        <w:tc>
          <w:tcPr>
            <w:tcW w:w="1838" w:type="dxa"/>
            <w:vMerge w:val="restart"/>
          </w:tcPr>
          <w:p w14:paraId="4CA80C57" w14:textId="488BFE8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835" w:type="dxa"/>
          </w:tcPr>
          <w:p w14:paraId="65EE3A1F" w14:textId="42E954E2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8789" w:type="dxa"/>
            <w:vMerge w:val="restart"/>
          </w:tcPr>
          <w:p w14:paraId="7F38B344" w14:textId="1EB8CA0C" w:rsidR="00F6559C" w:rsidRPr="00EB2B47" w:rsidRDefault="00F6559C" w:rsidP="003065B4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The gender of the character, determined by pronoun use where not explicit.</w:t>
            </w:r>
          </w:p>
        </w:tc>
      </w:tr>
      <w:tr w:rsidR="00F6559C" w:rsidRPr="00EB2B47" w14:paraId="621E5311" w14:textId="155B9832" w:rsidTr="00EB2B47">
        <w:tc>
          <w:tcPr>
            <w:tcW w:w="1838" w:type="dxa"/>
            <w:vMerge/>
          </w:tcPr>
          <w:p w14:paraId="25457C9B" w14:textId="5AB0B7E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CA0492" w14:textId="39ECCEC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8789" w:type="dxa"/>
            <w:vMerge/>
          </w:tcPr>
          <w:p w14:paraId="75EA82F6" w14:textId="3A13A54A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1A5F13B7" w14:textId="40AF1E8A" w:rsidTr="00EB2B47">
        <w:tc>
          <w:tcPr>
            <w:tcW w:w="1838" w:type="dxa"/>
            <w:vMerge/>
          </w:tcPr>
          <w:p w14:paraId="4065A119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E20178" w14:textId="2A81846F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Non-binary/other</w:t>
            </w:r>
          </w:p>
        </w:tc>
        <w:tc>
          <w:tcPr>
            <w:tcW w:w="8789" w:type="dxa"/>
            <w:vMerge/>
          </w:tcPr>
          <w:p w14:paraId="193361B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36B47CA3" w14:textId="63375056" w:rsidTr="00EB2B47">
        <w:tc>
          <w:tcPr>
            <w:tcW w:w="1838" w:type="dxa"/>
          </w:tcPr>
          <w:p w14:paraId="4C841305" w14:textId="1C76DA3C" w:rsidR="00F6559C" w:rsidRPr="00EB2B47" w:rsidRDefault="00EB2B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559C" w:rsidRPr="00EB2B47">
              <w:rPr>
                <w:rFonts w:ascii="Arial" w:hAnsi="Arial" w:cs="Arial"/>
                <w:sz w:val="24"/>
                <w:szCs w:val="24"/>
              </w:rPr>
              <w:t>ge</w:t>
            </w:r>
          </w:p>
        </w:tc>
        <w:tc>
          <w:tcPr>
            <w:tcW w:w="2835" w:type="dxa"/>
          </w:tcPr>
          <w:p w14:paraId="01DA81DC" w14:textId="003218A4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  <w:tc>
          <w:tcPr>
            <w:tcW w:w="8789" w:type="dxa"/>
          </w:tcPr>
          <w:p w14:paraId="5C11E44F" w14:textId="54B97AA1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The age of the actor at the time of release in years (as close as can be determined from IMDb, in the first instance, and Wikipedia where IMDb is incomplete).</w:t>
            </w:r>
          </w:p>
        </w:tc>
      </w:tr>
      <w:tr w:rsidR="00F6559C" w:rsidRPr="00EB2B47" w14:paraId="23FADE0F" w14:textId="35708836" w:rsidTr="00EB2B47">
        <w:tc>
          <w:tcPr>
            <w:tcW w:w="1838" w:type="dxa"/>
            <w:vMerge w:val="restart"/>
          </w:tcPr>
          <w:p w14:paraId="451E3708" w14:textId="48F5D348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Ethnicity</w:t>
            </w:r>
          </w:p>
        </w:tc>
        <w:tc>
          <w:tcPr>
            <w:tcW w:w="2835" w:type="dxa"/>
          </w:tcPr>
          <w:p w14:paraId="33321921" w14:textId="2C175B92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White</w:t>
            </w:r>
          </w:p>
        </w:tc>
        <w:tc>
          <w:tcPr>
            <w:tcW w:w="8789" w:type="dxa"/>
            <w:vMerge w:val="restart"/>
          </w:tcPr>
          <w:p w14:paraId="39264D78" w14:textId="6174E6E8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4018A">
              <w:rPr>
                <w:rFonts w:ascii="Arial" w:hAnsi="Arial" w:cs="Arial"/>
                <w:sz w:val="24"/>
                <w:szCs w:val="24"/>
              </w:rPr>
              <w:t>perceived</w:t>
            </w:r>
            <w:r w:rsidRPr="00EB2B47">
              <w:rPr>
                <w:rFonts w:ascii="Arial" w:hAnsi="Arial" w:cs="Arial"/>
                <w:sz w:val="24"/>
                <w:szCs w:val="24"/>
              </w:rPr>
              <w:t xml:space="preserve"> ethnicity</w:t>
            </w:r>
            <w:r w:rsidR="008401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2B47">
              <w:rPr>
                <w:rFonts w:ascii="Arial" w:hAnsi="Arial" w:cs="Arial"/>
                <w:sz w:val="24"/>
                <w:szCs w:val="24"/>
              </w:rPr>
              <w:t>of the character, supported by personal information listed on IMDb/Wikipedia</w:t>
            </w:r>
            <w:r w:rsidR="00EB2B47" w:rsidRPr="00EB2B47">
              <w:rPr>
                <w:rFonts w:ascii="Arial" w:hAnsi="Arial" w:cs="Arial"/>
                <w:sz w:val="24"/>
                <w:szCs w:val="24"/>
              </w:rPr>
              <w:t xml:space="preserve"> for the actor where this is not stated explicitly in the narrative</w:t>
            </w:r>
            <w:r w:rsidRPr="00EB2B4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6559C" w:rsidRPr="00EB2B47" w14:paraId="4E6DA83D" w14:textId="0D76C3DF" w:rsidTr="00EB2B47">
        <w:tc>
          <w:tcPr>
            <w:tcW w:w="1838" w:type="dxa"/>
            <w:vMerge/>
          </w:tcPr>
          <w:p w14:paraId="6A259B78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CA495F" w14:textId="4FBCCEC6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Black</w:t>
            </w:r>
          </w:p>
        </w:tc>
        <w:tc>
          <w:tcPr>
            <w:tcW w:w="8789" w:type="dxa"/>
            <w:vMerge/>
          </w:tcPr>
          <w:p w14:paraId="2044FC3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7A23773B" w14:textId="118D4272" w:rsidTr="00EB2B47">
        <w:tc>
          <w:tcPr>
            <w:tcW w:w="1838" w:type="dxa"/>
            <w:vMerge/>
          </w:tcPr>
          <w:p w14:paraId="5FDC071F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0A1DBC" w14:textId="60786AE0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Latinx</w:t>
            </w:r>
          </w:p>
        </w:tc>
        <w:tc>
          <w:tcPr>
            <w:tcW w:w="8789" w:type="dxa"/>
            <w:vMerge/>
          </w:tcPr>
          <w:p w14:paraId="733ACF2D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02764E7A" w14:textId="322AE14B" w:rsidTr="00EB2B47">
        <w:tc>
          <w:tcPr>
            <w:tcW w:w="1838" w:type="dxa"/>
            <w:vMerge/>
          </w:tcPr>
          <w:p w14:paraId="3DA20CA4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CBD350" w14:textId="1DB38CE8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Asian/Asian-American</w:t>
            </w:r>
          </w:p>
        </w:tc>
        <w:tc>
          <w:tcPr>
            <w:tcW w:w="8789" w:type="dxa"/>
            <w:vMerge/>
          </w:tcPr>
          <w:p w14:paraId="3211BC1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6AB22F5D" w14:textId="77777777" w:rsidTr="00EB2B47">
        <w:tc>
          <w:tcPr>
            <w:tcW w:w="1838" w:type="dxa"/>
            <w:vMerge/>
          </w:tcPr>
          <w:p w14:paraId="57107F7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F5DF3A" w14:textId="7EACCAFA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Native</w:t>
            </w:r>
          </w:p>
        </w:tc>
        <w:tc>
          <w:tcPr>
            <w:tcW w:w="8789" w:type="dxa"/>
            <w:vMerge/>
          </w:tcPr>
          <w:p w14:paraId="2981915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7FC13870" w14:textId="77777777" w:rsidTr="00EB2B47">
        <w:tc>
          <w:tcPr>
            <w:tcW w:w="1838" w:type="dxa"/>
            <w:vMerge/>
          </w:tcPr>
          <w:p w14:paraId="7A524AA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07932F" w14:textId="0658C71F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Multi</w:t>
            </w:r>
          </w:p>
        </w:tc>
        <w:tc>
          <w:tcPr>
            <w:tcW w:w="8789" w:type="dxa"/>
            <w:vMerge/>
          </w:tcPr>
          <w:p w14:paraId="37A63EBA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5CF13B73" w14:textId="77777777" w:rsidTr="00EB2B47">
        <w:tc>
          <w:tcPr>
            <w:tcW w:w="1838" w:type="dxa"/>
            <w:vMerge/>
          </w:tcPr>
          <w:p w14:paraId="3A9A07A8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249398" w14:textId="63A2BA93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MENA</w:t>
            </w:r>
          </w:p>
        </w:tc>
        <w:tc>
          <w:tcPr>
            <w:tcW w:w="8789" w:type="dxa"/>
            <w:vMerge/>
          </w:tcPr>
          <w:p w14:paraId="103F06B6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1B5B0856" w14:textId="77777777" w:rsidTr="00EB2B47">
        <w:tc>
          <w:tcPr>
            <w:tcW w:w="1838" w:type="dxa"/>
            <w:vMerge/>
          </w:tcPr>
          <w:p w14:paraId="33A5D99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98440C" w14:textId="7DD030DC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  <w:tc>
          <w:tcPr>
            <w:tcW w:w="8789" w:type="dxa"/>
            <w:vMerge/>
          </w:tcPr>
          <w:p w14:paraId="78777F49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F11A46" w14:textId="77777777" w:rsidR="00081A7A" w:rsidRPr="00EB2B47" w:rsidRDefault="00081A7A">
      <w:pPr>
        <w:rPr>
          <w:rFonts w:ascii="Arial" w:hAnsi="Arial" w:cs="Arial"/>
          <w:sz w:val="24"/>
          <w:szCs w:val="24"/>
        </w:rPr>
      </w:pPr>
    </w:p>
    <w:p w14:paraId="25B32C42" w14:textId="0B081289" w:rsidR="00081A7A" w:rsidRPr="00EB2B47" w:rsidRDefault="00081A7A">
      <w:pPr>
        <w:rPr>
          <w:rFonts w:ascii="Arial" w:hAnsi="Arial" w:cs="Arial"/>
          <w:sz w:val="24"/>
          <w:szCs w:val="24"/>
        </w:rPr>
      </w:pPr>
      <w:r w:rsidRPr="00EB2B47">
        <w:rPr>
          <w:rFonts w:ascii="Arial" w:hAnsi="Arial" w:cs="Arial"/>
          <w:sz w:val="24"/>
          <w:szCs w:val="24"/>
        </w:rPr>
        <w:t>Event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2111"/>
        <w:gridCol w:w="5144"/>
      </w:tblGrid>
      <w:tr w:rsidR="00354295" w:rsidRPr="000D724D" w14:paraId="2558D7DC" w14:textId="77777777" w:rsidTr="00EB2B47">
        <w:tc>
          <w:tcPr>
            <w:tcW w:w="1884" w:type="dxa"/>
          </w:tcPr>
          <w:p w14:paraId="25B52339" w14:textId="2AE49BD4" w:rsidR="00354295" w:rsidRPr="000D724D" w:rsidRDefault="000D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789" w:type="dxa"/>
          </w:tcPr>
          <w:p w14:paraId="3114FD5A" w14:textId="7705A2E7" w:rsidR="00354295" w:rsidRPr="000D724D" w:rsidRDefault="000D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8789" w:type="dxa"/>
          </w:tcPr>
          <w:p w14:paraId="0D482FA7" w14:textId="5BEEE49E" w:rsidR="00354295" w:rsidRPr="000D724D" w:rsidRDefault="003542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6559C" w:rsidRPr="00EB2B47" w14:paraId="7D22FA0A" w14:textId="77777777" w:rsidTr="00EB2B47">
        <w:tc>
          <w:tcPr>
            <w:tcW w:w="1884" w:type="dxa"/>
            <w:vMerge w:val="restart"/>
          </w:tcPr>
          <w:p w14:paraId="70DA87A4" w14:textId="0052708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Sexualisation</w:t>
            </w:r>
          </w:p>
        </w:tc>
        <w:tc>
          <w:tcPr>
            <w:tcW w:w="2789" w:type="dxa"/>
          </w:tcPr>
          <w:p w14:paraId="0A92848F" w14:textId="405681D9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1 – Objectifying camera work</w:t>
            </w:r>
          </w:p>
        </w:tc>
        <w:tc>
          <w:tcPr>
            <w:tcW w:w="8789" w:type="dxa"/>
          </w:tcPr>
          <w:p w14:paraId="31F41DAB" w14:textId="47F3E323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Shot in a way that emphasised the character’s body over their face for erotic display (close up on body parts, panning up/down body).</w:t>
            </w:r>
          </w:p>
        </w:tc>
      </w:tr>
      <w:tr w:rsidR="00F6559C" w:rsidRPr="00EB2B47" w14:paraId="235D0084" w14:textId="77777777" w:rsidTr="00EB2B47">
        <w:tc>
          <w:tcPr>
            <w:tcW w:w="1884" w:type="dxa"/>
            <w:vMerge/>
          </w:tcPr>
          <w:p w14:paraId="41DF586E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050451C" w14:textId="72B7190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2 – Referenced as attractive</w:t>
            </w:r>
          </w:p>
        </w:tc>
        <w:tc>
          <w:tcPr>
            <w:tcW w:w="8789" w:type="dxa"/>
          </w:tcPr>
          <w:p w14:paraId="12781226" w14:textId="30984590" w:rsidR="00F6559C" w:rsidRPr="00EB2B47" w:rsidRDefault="00EB2B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 reference to the character’s physical attractiveness or sexual desirability by another character.</w:t>
            </w:r>
          </w:p>
        </w:tc>
      </w:tr>
      <w:tr w:rsidR="00F6559C" w:rsidRPr="00EB2B47" w14:paraId="24FB1F5A" w14:textId="77777777" w:rsidTr="00EB2B47">
        <w:tc>
          <w:tcPr>
            <w:tcW w:w="1884" w:type="dxa"/>
            <w:vMerge/>
          </w:tcPr>
          <w:p w14:paraId="41E99115" w14:textId="77777777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86FB742" w14:textId="28392C44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3 – Partial nudity</w:t>
            </w:r>
          </w:p>
        </w:tc>
        <w:tc>
          <w:tcPr>
            <w:tcW w:w="8789" w:type="dxa"/>
          </w:tcPr>
          <w:p w14:paraId="30D636A5" w14:textId="3463ED24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 per Downs and Smith (2010): “exposed midriffs and/or cleavage for women, shirtless males, exposed thighs, and/or buttocks for men and women”.</w:t>
            </w:r>
          </w:p>
        </w:tc>
      </w:tr>
      <w:tr w:rsidR="00F6559C" w:rsidRPr="00EB2B47" w14:paraId="60E07634" w14:textId="77777777" w:rsidTr="00EB2B47">
        <w:tc>
          <w:tcPr>
            <w:tcW w:w="1884" w:type="dxa"/>
            <w:vMerge/>
          </w:tcPr>
          <w:p w14:paraId="50EE7724" w14:textId="10B48862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675D89CD" w14:textId="788D6002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4 – Strong nudity</w:t>
            </w:r>
          </w:p>
        </w:tc>
        <w:tc>
          <w:tcPr>
            <w:tcW w:w="8789" w:type="dxa"/>
          </w:tcPr>
          <w:p w14:paraId="0A7C62A1" w14:textId="62A91613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 per Downs and Smith (2010): “character’s body did not appear to be covered by any clothing, save shoes or a hat, or if a covering of any sort as by a towel or such was transparent in nature”.</w:t>
            </w:r>
          </w:p>
        </w:tc>
      </w:tr>
      <w:tr w:rsidR="00F6559C" w:rsidRPr="00EB2B47" w14:paraId="3F4900F1" w14:textId="77777777" w:rsidTr="00EB2B47">
        <w:tc>
          <w:tcPr>
            <w:tcW w:w="1884" w:type="dxa"/>
            <w:vMerge w:val="restart"/>
          </w:tcPr>
          <w:p w14:paraId="1E23A02E" w14:textId="33044CDC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Sexual activity</w:t>
            </w:r>
          </w:p>
        </w:tc>
        <w:tc>
          <w:tcPr>
            <w:tcW w:w="2789" w:type="dxa"/>
          </w:tcPr>
          <w:p w14:paraId="57C4BEC7" w14:textId="27E6ED4E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1 – Mild sexual contact</w:t>
            </w:r>
          </w:p>
        </w:tc>
        <w:tc>
          <w:tcPr>
            <w:tcW w:w="8789" w:type="dxa"/>
          </w:tcPr>
          <w:p w14:paraId="31D7CFBB" w14:textId="1B28612A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Including kissing while sitting or standing, fondling while clothed, or seductive dancing while clothed.</w:t>
            </w:r>
          </w:p>
        </w:tc>
      </w:tr>
      <w:tr w:rsidR="00F6559C" w:rsidRPr="00EB2B47" w14:paraId="53C4F265" w14:textId="77777777" w:rsidTr="00EB2B47">
        <w:tc>
          <w:tcPr>
            <w:tcW w:w="1884" w:type="dxa"/>
            <w:vMerge/>
          </w:tcPr>
          <w:p w14:paraId="6EB5E661" w14:textId="77777777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5354065B" w14:textId="727129E6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2 – Strong sexual contact</w:t>
            </w:r>
          </w:p>
        </w:tc>
        <w:tc>
          <w:tcPr>
            <w:tcW w:w="8789" w:type="dxa"/>
          </w:tcPr>
          <w:p w14:paraId="5984B948" w14:textId="6039D527" w:rsidR="00F6559C" w:rsidRPr="00EB2B47" w:rsidRDefault="00F6559C" w:rsidP="00081A7A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Including kissing while unclothed, sexual intercourse (implicitly or explicitly shown), or other direct sexual contact.</w:t>
            </w:r>
          </w:p>
        </w:tc>
      </w:tr>
    </w:tbl>
    <w:p w14:paraId="627BD2AE" w14:textId="77777777" w:rsidR="006857EC" w:rsidRPr="00EB2B47" w:rsidRDefault="006857EC">
      <w:pPr>
        <w:rPr>
          <w:rFonts w:ascii="Arial" w:hAnsi="Arial" w:cs="Arial"/>
          <w:sz w:val="24"/>
          <w:szCs w:val="24"/>
        </w:rPr>
      </w:pPr>
    </w:p>
    <w:sectPr w:rsidR="006857EC" w:rsidRPr="00EB2B47" w:rsidSect="00EB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5"/>
    <w:rsid w:val="00081A7A"/>
    <w:rsid w:val="000D724D"/>
    <w:rsid w:val="00354295"/>
    <w:rsid w:val="006857EC"/>
    <w:rsid w:val="0084018A"/>
    <w:rsid w:val="00EB2B47"/>
    <w:rsid w:val="00F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1476"/>
  <w15:chartTrackingRefBased/>
  <w15:docId w15:val="{5C260C93-5266-44F0-831D-30E3938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Jones</dc:creator>
  <cp:keywords/>
  <dc:description/>
  <cp:lastModifiedBy>Pete Jones</cp:lastModifiedBy>
  <cp:revision>3</cp:revision>
  <dcterms:created xsi:type="dcterms:W3CDTF">2020-04-28T09:11:00Z</dcterms:created>
  <dcterms:modified xsi:type="dcterms:W3CDTF">2022-05-11T19:37:00Z</dcterms:modified>
</cp:coreProperties>
</file>