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FA1C0" w14:textId="7F46760F" w:rsidR="000F6BF2" w:rsidRPr="009471F4" w:rsidRDefault="000F6BF2" w:rsidP="009471F4">
      <w:pPr>
        <w:jc w:val="center"/>
        <w:rPr>
          <w:sz w:val="36"/>
          <w:szCs w:val="36"/>
        </w:rPr>
      </w:pPr>
      <w:r w:rsidRPr="009471F4">
        <w:rPr>
          <w:sz w:val="36"/>
          <w:szCs w:val="36"/>
        </w:rPr>
        <w:t xml:space="preserve">Empirical benchmarks </w:t>
      </w:r>
      <w:r w:rsidR="009471F4" w:rsidRPr="009471F4">
        <w:rPr>
          <w:sz w:val="36"/>
          <w:szCs w:val="36"/>
        </w:rPr>
        <w:t xml:space="preserve">on racial underrepresentation in </w:t>
      </w:r>
      <w:r w:rsidR="009471F4" w:rsidRPr="009471F4">
        <w:rPr>
          <w:sz w:val="36"/>
          <w:szCs w:val="36"/>
        </w:rPr>
        <w:t xml:space="preserve">Hollywood </w:t>
      </w:r>
      <w:r w:rsidRPr="009471F4">
        <w:rPr>
          <w:sz w:val="36"/>
          <w:szCs w:val="36"/>
        </w:rPr>
        <w:t>from available content analysis data</w:t>
      </w:r>
    </w:p>
    <w:p w14:paraId="4A1EA29D" w14:textId="4ACFECAE" w:rsidR="00082EB2" w:rsidRPr="001713D6" w:rsidRDefault="00A20396" w:rsidP="00170F9D">
      <w:r w:rsidRPr="001713D6">
        <w:t xml:space="preserve">Here I’ll try to summarise the state of knowledge from empirical content analyses concerning relevant questions of character prevalence by race/ethnicity, Latina representation, and </w:t>
      </w:r>
      <w:r w:rsidR="00676860">
        <w:t>behind-the-camera</w:t>
      </w:r>
      <w:r w:rsidRPr="001713D6">
        <w:t xml:space="preserve"> diversity. The three main sources are all annual content analyses which look at top-grossing releases each year. Each uses a slightly different method. </w:t>
      </w:r>
    </w:p>
    <w:p w14:paraId="26840632" w14:textId="346CB9BF" w:rsidR="00A20396" w:rsidRPr="001713D6" w:rsidRDefault="00A20396" w:rsidP="00170F9D">
      <w:r w:rsidRPr="001713D6">
        <w:t>The sources are:</w:t>
      </w:r>
    </w:p>
    <w:p w14:paraId="57C53814" w14:textId="3E6B4617" w:rsidR="00A20396" w:rsidRPr="001713D6" w:rsidRDefault="00A20396" w:rsidP="00170F9D">
      <w:pPr>
        <w:pStyle w:val="ListParagraph"/>
        <w:numPr>
          <w:ilvl w:val="0"/>
          <w:numId w:val="1"/>
        </w:numPr>
      </w:pPr>
      <w:r w:rsidRPr="001713D6">
        <w:t xml:space="preserve">Martha </w:t>
      </w:r>
      <w:proofErr w:type="spellStart"/>
      <w:r w:rsidRPr="001713D6">
        <w:t>Lauzen</w:t>
      </w:r>
      <w:proofErr w:type="spellEnd"/>
      <w:r w:rsidRPr="001713D6">
        <w:t xml:space="preserve"> (of San Diego State’s </w:t>
      </w:r>
      <w:proofErr w:type="spellStart"/>
      <w:r w:rsidRPr="001713D6">
        <w:t>Center</w:t>
      </w:r>
      <w:proofErr w:type="spellEnd"/>
      <w:r w:rsidRPr="001713D6">
        <w:t xml:space="preserve"> for the Study of Women in Television and Film). 2020. “It’s a Man’s Celluloid World” report. Available from </w:t>
      </w:r>
      <w:hyperlink r:id="rId5" w:history="1">
        <w:r w:rsidRPr="001713D6">
          <w:rPr>
            <w:rStyle w:val="Hyperlink"/>
          </w:rPr>
          <w:t>here</w:t>
        </w:r>
      </w:hyperlink>
      <w:r w:rsidRPr="001713D6">
        <w:t>.</w:t>
      </w:r>
    </w:p>
    <w:p w14:paraId="6BCC52A9" w14:textId="7E024C8D" w:rsidR="00A20396" w:rsidRPr="001713D6" w:rsidRDefault="00A20396" w:rsidP="00170F9D">
      <w:pPr>
        <w:pStyle w:val="ListParagraph"/>
        <w:numPr>
          <w:ilvl w:val="0"/>
          <w:numId w:val="1"/>
        </w:numPr>
      </w:pPr>
      <w:r w:rsidRPr="001713D6">
        <w:t xml:space="preserve">Stacy Smith et al (of the Annenberg Inclusion Initiative at USC). 2019. “Inequality in 1,200 Popular Films: Examining Portrayals of Gender, Race/Ethnicity, LGBTQ &amp; Disability from 2007 to 2018” report. Available from </w:t>
      </w:r>
      <w:hyperlink r:id="rId6" w:history="1">
        <w:r w:rsidRPr="001713D6">
          <w:rPr>
            <w:rStyle w:val="Hyperlink"/>
          </w:rPr>
          <w:t>here</w:t>
        </w:r>
      </w:hyperlink>
      <w:r w:rsidRPr="001713D6">
        <w:t xml:space="preserve">. </w:t>
      </w:r>
    </w:p>
    <w:p w14:paraId="5B106406" w14:textId="1008F148" w:rsidR="00A20396" w:rsidRPr="001713D6" w:rsidRDefault="00A20396" w:rsidP="00170F9D">
      <w:pPr>
        <w:pStyle w:val="ListParagraph"/>
        <w:numPr>
          <w:ilvl w:val="0"/>
          <w:numId w:val="1"/>
        </w:numPr>
      </w:pPr>
      <w:r w:rsidRPr="001713D6">
        <w:t>Darnell Hunt et al (of UCLA). 2020. Hollywood Diversity Report.</w:t>
      </w:r>
      <w:r w:rsidR="001713D6" w:rsidRPr="001713D6">
        <w:t xml:space="preserve"> Available from </w:t>
      </w:r>
      <w:hyperlink r:id="rId7" w:history="1">
        <w:r w:rsidR="001713D6" w:rsidRPr="001713D6">
          <w:rPr>
            <w:rStyle w:val="Hyperlink"/>
          </w:rPr>
          <w:t>here</w:t>
        </w:r>
      </w:hyperlink>
      <w:r w:rsidR="001713D6" w:rsidRPr="001713D6">
        <w:t>.</w:t>
      </w:r>
    </w:p>
    <w:p w14:paraId="09300D5D" w14:textId="4A902A14" w:rsidR="00082EB2" w:rsidRPr="001713D6" w:rsidRDefault="00082EB2" w:rsidP="00170F9D">
      <w:proofErr w:type="spellStart"/>
      <w:r w:rsidRPr="001713D6">
        <w:t>Lauzen’s</w:t>
      </w:r>
      <w:proofErr w:type="spellEnd"/>
      <w:r w:rsidRPr="001713D6">
        <w:t xml:space="preserve"> and the </w:t>
      </w:r>
      <w:proofErr w:type="spellStart"/>
      <w:r w:rsidRPr="001713D6">
        <w:t>Inclusionists</w:t>
      </w:r>
      <w:proofErr w:type="spellEnd"/>
      <w:r w:rsidRPr="001713D6">
        <w:t xml:space="preserve">’ studies are much more similar in methods, the main difference being that </w:t>
      </w:r>
      <w:proofErr w:type="spellStart"/>
      <w:r w:rsidRPr="001713D6">
        <w:t>Lauzen’s</w:t>
      </w:r>
      <w:proofErr w:type="spellEnd"/>
      <w:r w:rsidRPr="001713D6">
        <w:t xml:space="preserve"> is more narrowly focused on gender and is much less detailed in its discussion. The Hollywood Diversity Report is qualitatively different from both, using different measures (</w:t>
      </w:r>
      <w:r w:rsidR="0064383B">
        <w:t xml:space="preserve">e.g. </w:t>
      </w:r>
      <w:r w:rsidRPr="001713D6">
        <w:t>it measures film leads and total film actors, where the first 2 studies focus on speaking characters) and looking over a two-year period</w:t>
      </w:r>
      <w:r w:rsidR="0064383B">
        <w:t>, with more of a focus on the industry and the bottom line</w:t>
      </w:r>
      <w:r w:rsidRPr="001713D6">
        <w:t>.</w:t>
      </w:r>
    </w:p>
    <w:p w14:paraId="43D8BF4E" w14:textId="35B45EEB" w:rsidR="00FF2BE1" w:rsidRPr="009471F4" w:rsidRDefault="000F6BF2" w:rsidP="00170F9D">
      <w:pPr>
        <w:rPr>
          <w:b/>
          <w:bCs/>
        </w:rPr>
      </w:pPr>
      <w:r w:rsidRPr="009471F4">
        <w:rPr>
          <w:b/>
          <w:bCs/>
        </w:rPr>
        <w:t>On-screen</w:t>
      </w:r>
      <w:r w:rsidR="00A20396" w:rsidRPr="009471F4">
        <w:rPr>
          <w:b/>
          <w:bCs/>
        </w:rPr>
        <w:t xml:space="preserve"> prevalence</w:t>
      </w:r>
      <w:r w:rsidRPr="009471F4">
        <w:rPr>
          <w:b/>
          <w:bCs/>
        </w:rPr>
        <w:t>:</w:t>
      </w:r>
    </w:p>
    <w:p w14:paraId="17CC025D" w14:textId="484EF872" w:rsidR="000F6BF2" w:rsidRPr="001713D6" w:rsidRDefault="000F6BF2" w:rsidP="00170F9D">
      <w:r w:rsidRPr="001713D6">
        <w:t xml:space="preserve">Overall, the proportion of characters that are white seems to be coming down, though the gains seem to be concentrated among </w:t>
      </w:r>
      <w:r w:rsidR="00A20396" w:rsidRPr="001713D6">
        <w:t>B</w:t>
      </w:r>
      <w:r w:rsidRPr="001713D6">
        <w:t xml:space="preserve">lack </w:t>
      </w:r>
      <w:r w:rsidR="00A20396" w:rsidRPr="001713D6">
        <w:t>characters</w:t>
      </w:r>
      <w:r w:rsidRPr="001713D6">
        <w:t>.</w:t>
      </w:r>
    </w:p>
    <w:p w14:paraId="4B7C3EF5" w14:textId="45F35D5F" w:rsidR="000F6BF2" w:rsidRPr="001713D6" w:rsidRDefault="000F6BF2" w:rsidP="00170F9D">
      <w:r w:rsidRPr="001713D6">
        <w:t xml:space="preserve">Martha </w:t>
      </w:r>
      <w:proofErr w:type="spellStart"/>
      <w:r w:rsidRPr="001713D6">
        <w:t>Lauzen’s</w:t>
      </w:r>
      <w:proofErr w:type="spellEnd"/>
      <w:r w:rsidRPr="001713D6">
        <w:t xml:space="preserve"> </w:t>
      </w:r>
      <w:r w:rsidR="00875174" w:rsidRPr="001713D6">
        <w:t xml:space="preserve">breaks this down by gender, finding the following trend for </w:t>
      </w:r>
      <w:r w:rsidR="00A20396" w:rsidRPr="001713D6">
        <w:t>female characters</w:t>
      </w:r>
      <w:r w:rsidR="001713D6">
        <w:t xml:space="preserve"> (</w:t>
      </w:r>
      <w:r w:rsidR="001713D6" w:rsidRPr="001713D6">
        <w:t>with similar numbers for men</w:t>
      </w:r>
      <w:r w:rsidR="001713D6">
        <w:t xml:space="preserve"> - </w:t>
      </w:r>
      <w:r w:rsidR="001713D6" w:rsidRPr="001713D6">
        <w:t>the main difference being that Black men are less prevalent than Black women)</w:t>
      </w:r>
      <w:r w:rsidRPr="001713D6">
        <w:t>:</w:t>
      </w:r>
    </w:p>
    <w:p w14:paraId="4E4B5174" w14:textId="3BECDAE4" w:rsidR="000F6BF2" w:rsidRPr="001713D6" w:rsidRDefault="000F6BF2" w:rsidP="00170F9D">
      <w:r w:rsidRPr="001713D6">
        <w:rPr>
          <w:noProof/>
        </w:rPr>
        <w:lastRenderedPageBreak/>
        <w:drawing>
          <wp:inline distT="0" distB="0" distL="0" distR="0" wp14:anchorId="4CC0E731" wp14:editId="2124BBE5">
            <wp:extent cx="2691765" cy="42739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6886" cy="4282079"/>
                    </a:xfrm>
                    <a:prstGeom prst="rect">
                      <a:avLst/>
                    </a:prstGeom>
                  </pic:spPr>
                </pic:pic>
              </a:graphicData>
            </a:graphic>
          </wp:inline>
        </w:drawing>
      </w:r>
    </w:p>
    <w:p w14:paraId="0896365F" w14:textId="0019AFA6" w:rsidR="000F6BF2" w:rsidRPr="001713D6" w:rsidRDefault="001713D6" w:rsidP="00170F9D">
      <w:r>
        <w:t>W</w:t>
      </w:r>
      <w:r w:rsidR="000F6BF2" w:rsidRPr="001713D6">
        <w:t>hile the Annenberg Inclusion Initiative reports that</w:t>
      </w:r>
      <w:r w:rsidR="00875174" w:rsidRPr="001713D6">
        <w:t>, overall</w:t>
      </w:r>
      <w:r w:rsidR="000F6BF2" w:rsidRPr="001713D6">
        <w:t>:</w:t>
      </w:r>
    </w:p>
    <w:p w14:paraId="4C55F751" w14:textId="77777777" w:rsidR="00533D88" w:rsidRPr="001713D6" w:rsidRDefault="00533D88" w:rsidP="00170F9D">
      <w:pPr>
        <w:pStyle w:val="Quote"/>
      </w:pPr>
      <w:r w:rsidRPr="001713D6">
        <w:t xml:space="preserve">The percentage of white characters has decreased significantly in 2018 (63.7%) in comparison to 2017 (70.7%) and 2007 (77.6%). Black characters were at a 12-year high in 2018, though the percentage was just shy of a </w:t>
      </w:r>
      <w:proofErr w:type="gramStart"/>
      <w:r w:rsidRPr="001713D6">
        <w:t>5 percentage</w:t>
      </w:r>
      <w:proofErr w:type="gramEnd"/>
      <w:r w:rsidRPr="001713D6">
        <w:t xml:space="preserve"> point difference (+4.8) between 2018 and 2017. A 3.9 percentage point difference was observed from 2007 to 2018 in the percentage of Black characters.</w:t>
      </w:r>
    </w:p>
    <w:p w14:paraId="20B15B7B" w14:textId="4171D48F" w:rsidR="000F6BF2" w:rsidRPr="001713D6" w:rsidRDefault="00533D88" w:rsidP="00170F9D">
      <w:pPr>
        <w:pStyle w:val="Quote"/>
      </w:pPr>
      <w:r w:rsidRPr="001713D6">
        <w:t xml:space="preserve">For Asian speaking characters, 2018 (8.2%) was higher than 2007 (3.4%) but just short of the </w:t>
      </w:r>
      <w:proofErr w:type="gramStart"/>
      <w:r w:rsidRPr="001713D6">
        <w:t>5 percentage</w:t>
      </w:r>
      <w:proofErr w:type="gramEnd"/>
      <w:r w:rsidRPr="001713D6">
        <w:t xml:space="preserve"> point difference demarcating meaningful change. 2018 (8.2%) was slightly higher than 2017 (4.8%).</w:t>
      </w:r>
    </w:p>
    <w:p w14:paraId="46F45AD9" w14:textId="5D729850" w:rsidR="00A20396" w:rsidRDefault="00A20396" w:rsidP="00170F9D">
      <w:r w:rsidRPr="001713D6">
        <w:t>They suggest that “In total, 36.3% of speaking characters were from underrepresented racial/ethnic groups which approximates U.S. Census (39.6%)”</w:t>
      </w:r>
      <w:r w:rsidR="001713D6">
        <w:t>,</w:t>
      </w:r>
      <w:r w:rsidRPr="001713D6">
        <w:t xml:space="preserve"> which is a weird way of wording that.</w:t>
      </w:r>
    </w:p>
    <w:p w14:paraId="104A19FF" w14:textId="10877AFE" w:rsidR="00725140" w:rsidRDefault="00725140" w:rsidP="00170F9D">
      <w:r>
        <w:t>Here’s the Hollywood Diversity Report figures (first, “film leads”, followed by share of all actors):</w:t>
      </w:r>
    </w:p>
    <w:p w14:paraId="38862F60" w14:textId="72A63622" w:rsidR="00725140" w:rsidRDefault="00725140" w:rsidP="00170F9D">
      <w:r>
        <w:rPr>
          <w:noProof/>
        </w:rPr>
        <w:lastRenderedPageBreak/>
        <w:drawing>
          <wp:inline distT="0" distB="0" distL="0" distR="0" wp14:anchorId="7BF87619" wp14:editId="341DB49A">
            <wp:extent cx="5731510" cy="27584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58440"/>
                    </a:xfrm>
                    <a:prstGeom prst="rect">
                      <a:avLst/>
                    </a:prstGeom>
                  </pic:spPr>
                </pic:pic>
              </a:graphicData>
            </a:graphic>
          </wp:inline>
        </w:drawing>
      </w:r>
    </w:p>
    <w:p w14:paraId="0776AC69" w14:textId="3B71A751" w:rsidR="00170F9D" w:rsidRPr="00170F9D" w:rsidRDefault="00170F9D" w:rsidP="00170F9D">
      <w:pPr>
        <w:pStyle w:val="Caption"/>
      </w:pPr>
      <w:r w:rsidRPr="00170F9D">
        <w:t xml:space="preserve">Table </w:t>
      </w:r>
      <w:fldSimple w:instr=" SEQ Table \* ARABIC ">
        <w:r w:rsidRPr="00170F9D">
          <w:rPr>
            <w:noProof/>
          </w:rPr>
          <w:t>1</w:t>
        </w:r>
      </w:fldSimple>
      <w:r w:rsidRPr="00170F9D">
        <w:t>. Overall cast diversity by racial group 2016-2019 (Source: Hollywood Diversity Report).</w:t>
      </w:r>
    </w:p>
    <w:tbl>
      <w:tblPr>
        <w:tblStyle w:val="TableGrid"/>
        <w:tblW w:w="0" w:type="auto"/>
        <w:jc w:val="center"/>
        <w:tblLook w:val="04A0" w:firstRow="1" w:lastRow="0" w:firstColumn="1" w:lastColumn="0" w:noHBand="0" w:noVBand="1"/>
      </w:tblPr>
      <w:tblGrid>
        <w:gridCol w:w="960"/>
        <w:gridCol w:w="960"/>
        <w:gridCol w:w="960"/>
        <w:gridCol w:w="960"/>
        <w:gridCol w:w="960"/>
      </w:tblGrid>
      <w:tr w:rsidR="00725140" w:rsidRPr="00170F9D" w14:paraId="433D7405" w14:textId="77777777" w:rsidTr="00170F9D">
        <w:trPr>
          <w:trHeight w:val="288"/>
          <w:jc w:val="center"/>
        </w:trPr>
        <w:tc>
          <w:tcPr>
            <w:tcW w:w="960" w:type="dxa"/>
            <w:noWrap/>
            <w:hideMark/>
          </w:tcPr>
          <w:p w14:paraId="7EA12ED7" w14:textId="77777777" w:rsidR="00725140" w:rsidRPr="00170F9D" w:rsidRDefault="00725140" w:rsidP="00170F9D">
            <w:r w:rsidRPr="00170F9D">
              <w:t>Group</w:t>
            </w:r>
          </w:p>
        </w:tc>
        <w:tc>
          <w:tcPr>
            <w:tcW w:w="960" w:type="dxa"/>
            <w:noWrap/>
            <w:hideMark/>
          </w:tcPr>
          <w:p w14:paraId="088EEDA3" w14:textId="77777777" w:rsidR="00725140" w:rsidRPr="00170F9D" w:rsidRDefault="00725140" w:rsidP="00170F9D">
            <w:r w:rsidRPr="00170F9D">
              <w:t>2016</w:t>
            </w:r>
          </w:p>
        </w:tc>
        <w:tc>
          <w:tcPr>
            <w:tcW w:w="960" w:type="dxa"/>
            <w:noWrap/>
            <w:hideMark/>
          </w:tcPr>
          <w:p w14:paraId="6E3F3FAF" w14:textId="77777777" w:rsidR="00725140" w:rsidRPr="00170F9D" w:rsidRDefault="00725140" w:rsidP="00170F9D">
            <w:r w:rsidRPr="00170F9D">
              <w:t>2017</w:t>
            </w:r>
          </w:p>
        </w:tc>
        <w:tc>
          <w:tcPr>
            <w:tcW w:w="960" w:type="dxa"/>
            <w:noWrap/>
            <w:hideMark/>
          </w:tcPr>
          <w:p w14:paraId="0B7B02A1" w14:textId="77777777" w:rsidR="00725140" w:rsidRPr="00170F9D" w:rsidRDefault="00725140" w:rsidP="00170F9D">
            <w:r w:rsidRPr="00170F9D">
              <w:t>2018</w:t>
            </w:r>
          </w:p>
        </w:tc>
        <w:tc>
          <w:tcPr>
            <w:tcW w:w="960" w:type="dxa"/>
            <w:noWrap/>
            <w:hideMark/>
          </w:tcPr>
          <w:p w14:paraId="09209D41" w14:textId="77777777" w:rsidR="00725140" w:rsidRPr="00170F9D" w:rsidRDefault="00725140" w:rsidP="00170F9D">
            <w:r w:rsidRPr="00170F9D">
              <w:t>2019</w:t>
            </w:r>
          </w:p>
        </w:tc>
      </w:tr>
      <w:tr w:rsidR="00725140" w:rsidRPr="00725140" w14:paraId="0068D7FC" w14:textId="77777777" w:rsidTr="00170F9D">
        <w:trPr>
          <w:trHeight w:val="288"/>
          <w:jc w:val="center"/>
        </w:trPr>
        <w:tc>
          <w:tcPr>
            <w:tcW w:w="960" w:type="dxa"/>
            <w:noWrap/>
            <w:hideMark/>
          </w:tcPr>
          <w:p w14:paraId="2798C081" w14:textId="77777777" w:rsidR="00725140" w:rsidRPr="00170F9D" w:rsidRDefault="00725140" w:rsidP="00170F9D">
            <w:r w:rsidRPr="00170F9D">
              <w:t>White</w:t>
            </w:r>
          </w:p>
        </w:tc>
        <w:tc>
          <w:tcPr>
            <w:tcW w:w="960" w:type="dxa"/>
            <w:noWrap/>
            <w:hideMark/>
          </w:tcPr>
          <w:p w14:paraId="2A1DE2CA" w14:textId="77777777" w:rsidR="00725140" w:rsidRPr="00725140" w:rsidRDefault="00725140" w:rsidP="00170F9D">
            <w:r w:rsidRPr="00725140">
              <w:t>78.1%</w:t>
            </w:r>
          </w:p>
        </w:tc>
        <w:tc>
          <w:tcPr>
            <w:tcW w:w="960" w:type="dxa"/>
            <w:noWrap/>
            <w:hideMark/>
          </w:tcPr>
          <w:p w14:paraId="579235A0" w14:textId="77777777" w:rsidR="00725140" w:rsidRPr="00725140" w:rsidRDefault="00725140" w:rsidP="00170F9D">
            <w:r w:rsidRPr="00725140">
              <w:t>77.0%</w:t>
            </w:r>
          </w:p>
        </w:tc>
        <w:tc>
          <w:tcPr>
            <w:tcW w:w="960" w:type="dxa"/>
            <w:noWrap/>
            <w:hideMark/>
          </w:tcPr>
          <w:p w14:paraId="1F201797" w14:textId="77777777" w:rsidR="00725140" w:rsidRPr="00725140" w:rsidRDefault="00725140" w:rsidP="00170F9D">
            <w:r w:rsidRPr="00725140">
              <w:t>69.1%</w:t>
            </w:r>
          </w:p>
        </w:tc>
        <w:tc>
          <w:tcPr>
            <w:tcW w:w="960" w:type="dxa"/>
            <w:noWrap/>
            <w:hideMark/>
          </w:tcPr>
          <w:p w14:paraId="2D35B4E1" w14:textId="77777777" w:rsidR="00725140" w:rsidRPr="00725140" w:rsidRDefault="00725140" w:rsidP="00170F9D">
            <w:r w:rsidRPr="00725140">
              <w:t>67.3%</w:t>
            </w:r>
          </w:p>
        </w:tc>
      </w:tr>
      <w:tr w:rsidR="00725140" w:rsidRPr="00725140" w14:paraId="13B6ED9F" w14:textId="77777777" w:rsidTr="00170F9D">
        <w:trPr>
          <w:trHeight w:val="288"/>
          <w:jc w:val="center"/>
        </w:trPr>
        <w:tc>
          <w:tcPr>
            <w:tcW w:w="960" w:type="dxa"/>
            <w:noWrap/>
            <w:hideMark/>
          </w:tcPr>
          <w:p w14:paraId="51329385" w14:textId="77777777" w:rsidR="00725140" w:rsidRPr="00170F9D" w:rsidRDefault="00725140" w:rsidP="00170F9D">
            <w:r w:rsidRPr="00170F9D">
              <w:t>Black</w:t>
            </w:r>
          </w:p>
        </w:tc>
        <w:tc>
          <w:tcPr>
            <w:tcW w:w="960" w:type="dxa"/>
            <w:noWrap/>
            <w:hideMark/>
          </w:tcPr>
          <w:p w14:paraId="1C523F45" w14:textId="77777777" w:rsidR="00725140" w:rsidRPr="00725140" w:rsidRDefault="00725140" w:rsidP="00170F9D">
            <w:r w:rsidRPr="00725140">
              <w:t>12.5%</w:t>
            </w:r>
          </w:p>
        </w:tc>
        <w:tc>
          <w:tcPr>
            <w:tcW w:w="960" w:type="dxa"/>
            <w:noWrap/>
            <w:hideMark/>
          </w:tcPr>
          <w:p w14:paraId="1A51F5C9" w14:textId="77777777" w:rsidR="00725140" w:rsidRPr="00725140" w:rsidRDefault="00725140" w:rsidP="00170F9D">
            <w:r w:rsidRPr="00725140">
              <w:t>9.0%</w:t>
            </w:r>
          </w:p>
        </w:tc>
        <w:tc>
          <w:tcPr>
            <w:tcW w:w="960" w:type="dxa"/>
            <w:noWrap/>
            <w:hideMark/>
          </w:tcPr>
          <w:p w14:paraId="554EF0F1" w14:textId="77777777" w:rsidR="00725140" w:rsidRPr="00725140" w:rsidRDefault="00725140" w:rsidP="00170F9D">
            <w:r w:rsidRPr="00725140">
              <w:t>14.9%</w:t>
            </w:r>
          </w:p>
        </w:tc>
        <w:tc>
          <w:tcPr>
            <w:tcW w:w="960" w:type="dxa"/>
            <w:noWrap/>
            <w:hideMark/>
          </w:tcPr>
          <w:p w14:paraId="507E2DFC" w14:textId="77777777" w:rsidR="00725140" w:rsidRPr="00725140" w:rsidRDefault="00725140" w:rsidP="00170F9D">
            <w:r w:rsidRPr="00725140">
              <w:t>15.7%</w:t>
            </w:r>
          </w:p>
        </w:tc>
      </w:tr>
      <w:tr w:rsidR="00725140" w:rsidRPr="00725140" w14:paraId="65D4B5D7" w14:textId="77777777" w:rsidTr="00170F9D">
        <w:trPr>
          <w:trHeight w:val="288"/>
          <w:jc w:val="center"/>
        </w:trPr>
        <w:tc>
          <w:tcPr>
            <w:tcW w:w="960" w:type="dxa"/>
            <w:noWrap/>
            <w:hideMark/>
          </w:tcPr>
          <w:p w14:paraId="6BC6B4C4" w14:textId="77777777" w:rsidR="00725140" w:rsidRPr="00170F9D" w:rsidRDefault="00725140" w:rsidP="00170F9D">
            <w:r w:rsidRPr="00170F9D">
              <w:t>Latinx</w:t>
            </w:r>
          </w:p>
        </w:tc>
        <w:tc>
          <w:tcPr>
            <w:tcW w:w="960" w:type="dxa"/>
            <w:noWrap/>
            <w:hideMark/>
          </w:tcPr>
          <w:p w14:paraId="4111B266" w14:textId="77777777" w:rsidR="00725140" w:rsidRPr="00725140" w:rsidRDefault="00725140" w:rsidP="00170F9D">
            <w:r w:rsidRPr="00725140">
              <w:t>2.7%</w:t>
            </w:r>
          </w:p>
        </w:tc>
        <w:tc>
          <w:tcPr>
            <w:tcW w:w="960" w:type="dxa"/>
            <w:noWrap/>
            <w:hideMark/>
          </w:tcPr>
          <w:p w14:paraId="5EF5BBCF" w14:textId="77777777" w:rsidR="00725140" w:rsidRPr="00725140" w:rsidRDefault="00725140" w:rsidP="00170F9D">
            <w:r w:rsidRPr="00725140">
              <w:t>5.2%</w:t>
            </w:r>
          </w:p>
        </w:tc>
        <w:tc>
          <w:tcPr>
            <w:tcW w:w="960" w:type="dxa"/>
            <w:noWrap/>
            <w:hideMark/>
          </w:tcPr>
          <w:p w14:paraId="1432DC5A" w14:textId="77777777" w:rsidR="00725140" w:rsidRPr="00725140" w:rsidRDefault="00725140" w:rsidP="00170F9D">
            <w:r w:rsidRPr="00725140">
              <w:t>4.9%</w:t>
            </w:r>
          </w:p>
        </w:tc>
        <w:tc>
          <w:tcPr>
            <w:tcW w:w="960" w:type="dxa"/>
            <w:noWrap/>
            <w:hideMark/>
          </w:tcPr>
          <w:p w14:paraId="7E3C2E9A" w14:textId="77777777" w:rsidR="00725140" w:rsidRPr="00725140" w:rsidRDefault="00725140" w:rsidP="00170F9D">
            <w:r w:rsidRPr="00725140">
              <w:t>4.6%</w:t>
            </w:r>
          </w:p>
        </w:tc>
      </w:tr>
      <w:tr w:rsidR="00725140" w:rsidRPr="00725140" w14:paraId="04A03C1A" w14:textId="77777777" w:rsidTr="00170F9D">
        <w:trPr>
          <w:trHeight w:val="288"/>
          <w:jc w:val="center"/>
        </w:trPr>
        <w:tc>
          <w:tcPr>
            <w:tcW w:w="960" w:type="dxa"/>
            <w:noWrap/>
            <w:hideMark/>
          </w:tcPr>
          <w:p w14:paraId="2C50E886" w14:textId="77777777" w:rsidR="00725140" w:rsidRPr="00170F9D" w:rsidRDefault="00725140" w:rsidP="00170F9D">
            <w:r w:rsidRPr="00170F9D">
              <w:t>Asian</w:t>
            </w:r>
          </w:p>
        </w:tc>
        <w:tc>
          <w:tcPr>
            <w:tcW w:w="960" w:type="dxa"/>
            <w:noWrap/>
            <w:hideMark/>
          </w:tcPr>
          <w:p w14:paraId="36F53A57" w14:textId="77777777" w:rsidR="00725140" w:rsidRPr="00725140" w:rsidRDefault="00725140" w:rsidP="00170F9D">
            <w:r w:rsidRPr="00725140">
              <w:t>3.1%</w:t>
            </w:r>
          </w:p>
        </w:tc>
        <w:tc>
          <w:tcPr>
            <w:tcW w:w="960" w:type="dxa"/>
            <w:noWrap/>
            <w:hideMark/>
          </w:tcPr>
          <w:p w14:paraId="78CBF764" w14:textId="77777777" w:rsidR="00725140" w:rsidRPr="00725140" w:rsidRDefault="00725140" w:rsidP="00170F9D">
            <w:r w:rsidRPr="00725140">
              <w:t>3.4%</w:t>
            </w:r>
          </w:p>
        </w:tc>
        <w:tc>
          <w:tcPr>
            <w:tcW w:w="960" w:type="dxa"/>
            <w:noWrap/>
            <w:hideMark/>
          </w:tcPr>
          <w:p w14:paraId="43DEA4B9" w14:textId="77777777" w:rsidR="00725140" w:rsidRPr="00725140" w:rsidRDefault="00725140" w:rsidP="00170F9D">
            <w:r w:rsidRPr="00725140">
              <w:t>4.8%</w:t>
            </w:r>
          </w:p>
        </w:tc>
        <w:tc>
          <w:tcPr>
            <w:tcW w:w="960" w:type="dxa"/>
            <w:noWrap/>
            <w:hideMark/>
          </w:tcPr>
          <w:p w14:paraId="4F622E8A" w14:textId="77777777" w:rsidR="00725140" w:rsidRPr="00725140" w:rsidRDefault="00725140" w:rsidP="00170F9D">
            <w:r w:rsidRPr="00725140">
              <w:t>5.0%</w:t>
            </w:r>
          </w:p>
        </w:tc>
      </w:tr>
      <w:tr w:rsidR="00725140" w:rsidRPr="00725140" w14:paraId="6B29A1B3" w14:textId="77777777" w:rsidTr="00170F9D">
        <w:trPr>
          <w:trHeight w:val="288"/>
          <w:jc w:val="center"/>
        </w:trPr>
        <w:tc>
          <w:tcPr>
            <w:tcW w:w="960" w:type="dxa"/>
            <w:noWrap/>
            <w:hideMark/>
          </w:tcPr>
          <w:p w14:paraId="122E6E5D" w14:textId="77777777" w:rsidR="00725140" w:rsidRPr="00170F9D" w:rsidRDefault="00725140" w:rsidP="00170F9D">
            <w:r w:rsidRPr="00170F9D">
              <w:t>Multi</w:t>
            </w:r>
          </w:p>
        </w:tc>
        <w:tc>
          <w:tcPr>
            <w:tcW w:w="960" w:type="dxa"/>
            <w:noWrap/>
            <w:hideMark/>
          </w:tcPr>
          <w:p w14:paraId="1A4CB31D" w14:textId="77777777" w:rsidR="00725140" w:rsidRPr="00725140" w:rsidRDefault="00725140" w:rsidP="00170F9D">
            <w:r w:rsidRPr="00725140">
              <w:t>3.0%</w:t>
            </w:r>
          </w:p>
        </w:tc>
        <w:tc>
          <w:tcPr>
            <w:tcW w:w="960" w:type="dxa"/>
            <w:noWrap/>
            <w:hideMark/>
          </w:tcPr>
          <w:p w14:paraId="0B802466" w14:textId="77777777" w:rsidR="00725140" w:rsidRPr="00725140" w:rsidRDefault="00725140" w:rsidP="00170F9D">
            <w:r w:rsidRPr="00725140">
              <w:t>5.0%</w:t>
            </w:r>
          </w:p>
        </w:tc>
        <w:tc>
          <w:tcPr>
            <w:tcW w:w="960" w:type="dxa"/>
            <w:noWrap/>
            <w:hideMark/>
          </w:tcPr>
          <w:p w14:paraId="4E010DC2" w14:textId="77777777" w:rsidR="00725140" w:rsidRPr="00725140" w:rsidRDefault="00725140" w:rsidP="00170F9D">
            <w:r w:rsidRPr="00725140">
              <w:t>5.4%</w:t>
            </w:r>
          </w:p>
        </w:tc>
        <w:tc>
          <w:tcPr>
            <w:tcW w:w="960" w:type="dxa"/>
            <w:noWrap/>
            <w:hideMark/>
          </w:tcPr>
          <w:p w14:paraId="1979A7DE" w14:textId="77777777" w:rsidR="00725140" w:rsidRPr="00725140" w:rsidRDefault="00725140" w:rsidP="00170F9D">
            <w:r w:rsidRPr="00725140">
              <w:t>6.2%</w:t>
            </w:r>
          </w:p>
        </w:tc>
      </w:tr>
      <w:tr w:rsidR="00725140" w:rsidRPr="00725140" w14:paraId="1B248ACF" w14:textId="77777777" w:rsidTr="00170F9D">
        <w:trPr>
          <w:trHeight w:val="288"/>
          <w:jc w:val="center"/>
        </w:trPr>
        <w:tc>
          <w:tcPr>
            <w:tcW w:w="960" w:type="dxa"/>
            <w:noWrap/>
            <w:hideMark/>
          </w:tcPr>
          <w:p w14:paraId="372D36C1" w14:textId="77777777" w:rsidR="00725140" w:rsidRPr="00170F9D" w:rsidRDefault="00725140" w:rsidP="00170F9D">
            <w:r w:rsidRPr="00170F9D">
              <w:t>Native</w:t>
            </w:r>
          </w:p>
        </w:tc>
        <w:tc>
          <w:tcPr>
            <w:tcW w:w="960" w:type="dxa"/>
            <w:noWrap/>
            <w:hideMark/>
          </w:tcPr>
          <w:p w14:paraId="5C9A6526" w14:textId="77777777" w:rsidR="00725140" w:rsidRPr="00725140" w:rsidRDefault="00725140" w:rsidP="00170F9D">
            <w:r w:rsidRPr="00725140">
              <w:t>0.5%</w:t>
            </w:r>
          </w:p>
        </w:tc>
        <w:tc>
          <w:tcPr>
            <w:tcW w:w="960" w:type="dxa"/>
            <w:noWrap/>
            <w:hideMark/>
          </w:tcPr>
          <w:p w14:paraId="2A27573F" w14:textId="77777777" w:rsidR="00725140" w:rsidRPr="00725140" w:rsidRDefault="00725140" w:rsidP="00170F9D">
            <w:r w:rsidRPr="00725140">
              <w:t>0.4%</w:t>
            </w:r>
          </w:p>
        </w:tc>
        <w:tc>
          <w:tcPr>
            <w:tcW w:w="960" w:type="dxa"/>
            <w:noWrap/>
            <w:hideMark/>
          </w:tcPr>
          <w:p w14:paraId="424AC9B4" w14:textId="77777777" w:rsidR="00725140" w:rsidRPr="00725140" w:rsidRDefault="00725140" w:rsidP="00170F9D">
            <w:r w:rsidRPr="00725140">
              <w:t>0.3%</w:t>
            </w:r>
          </w:p>
        </w:tc>
        <w:tc>
          <w:tcPr>
            <w:tcW w:w="960" w:type="dxa"/>
            <w:noWrap/>
            <w:hideMark/>
          </w:tcPr>
          <w:p w14:paraId="4A28D29C" w14:textId="77777777" w:rsidR="00725140" w:rsidRPr="00725140" w:rsidRDefault="00725140" w:rsidP="00170F9D">
            <w:r w:rsidRPr="00725140">
              <w:t>0.5%</w:t>
            </w:r>
          </w:p>
        </w:tc>
      </w:tr>
      <w:tr w:rsidR="00725140" w:rsidRPr="00725140" w14:paraId="1CEC7604" w14:textId="77777777" w:rsidTr="00170F9D">
        <w:trPr>
          <w:trHeight w:val="288"/>
          <w:jc w:val="center"/>
        </w:trPr>
        <w:tc>
          <w:tcPr>
            <w:tcW w:w="960" w:type="dxa"/>
            <w:noWrap/>
            <w:hideMark/>
          </w:tcPr>
          <w:p w14:paraId="63EDDC65" w14:textId="77777777" w:rsidR="00725140" w:rsidRPr="00170F9D" w:rsidRDefault="00725140" w:rsidP="00170F9D">
            <w:r w:rsidRPr="00170F9D">
              <w:t>MENA</w:t>
            </w:r>
          </w:p>
        </w:tc>
        <w:tc>
          <w:tcPr>
            <w:tcW w:w="960" w:type="dxa"/>
            <w:noWrap/>
            <w:hideMark/>
          </w:tcPr>
          <w:p w14:paraId="372D0D8C" w14:textId="78107743" w:rsidR="00725140" w:rsidRPr="00725140" w:rsidRDefault="00170F9D" w:rsidP="00170F9D">
            <w:r>
              <w:t>-</w:t>
            </w:r>
          </w:p>
        </w:tc>
        <w:tc>
          <w:tcPr>
            <w:tcW w:w="960" w:type="dxa"/>
            <w:noWrap/>
            <w:hideMark/>
          </w:tcPr>
          <w:p w14:paraId="566D7B31" w14:textId="2ABC4312" w:rsidR="00725140" w:rsidRPr="00725140" w:rsidRDefault="00170F9D" w:rsidP="00170F9D">
            <w:r>
              <w:t>-</w:t>
            </w:r>
          </w:p>
        </w:tc>
        <w:tc>
          <w:tcPr>
            <w:tcW w:w="960" w:type="dxa"/>
            <w:noWrap/>
            <w:hideMark/>
          </w:tcPr>
          <w:p w14:paraId="411BDDA5" w14:textId="77777777" w:rsidR="00725140" w:rsidRPr="00725140" w:rsidRDefault="00725140" w:rsidP="00170F9D">
            <w:r w:rsidRPr="00725140">
              <w:t>0.7%</w:t>
            </w:r>
          </w:p>
        </w:tc>
        <w:tc>
          <w:tcPr>
            <w:tcW w:w="960" w:type="dxa"/>
            <w:noWrap/>
            <w:hideMark/>
          </w:tcPr>
          <w:p w14:paraId="6512CA6C" w14:textId="77777777" w:rsidR="00725140" w:rsidRPr="00725140" w:rsidRDefault="00725140" w:rsidP="00170F9D">
            <w:r w:rsidRPr="00725140">
              <w:t>0.7%</w:t>
            </w:r>
          </w:p>
        </w:tc>
      </w:tr>
    </w:tbl>
    <w:p w14:paraId="6D77AD69" w14:textId="042CC65D" w:rsidR="00725140" w:rsidRDefault="00725140" w:rsidP="00170F9D"/>
    <w:p w14:paraId="44C2A052" w14:textId="39990524" w:rsidR="00170F9D" w:rsidRPr="001713D6" w:rsidRDefault="00170F9D" w:rsidP="00170F9D">
      <w:r>
        <w:t>Again, it looks like the declining White share is reflected in annual gains are present for Black, Asian and Multi/Mixed groups, but not so much for Latinx.</w:t>
      </w:r>
    </w:p>
    <w:p w14:paraId="4614E6AF" w14:textId="6A546097" w:rsidR="00533D88" w:rsidRPr="009471F4" w:rsidRDefault="00875174" w:rsidP="00170F9D">
      <w:pPr>
        <w:rPr>
          <w:b/>
          <w:bCs/>
        </w:rPr>
      </w:pPr>
      <w:r w:rsidRPr="009471F4">
        <w:rPr>
          <w:b/>
          <w:bCs/>
        </w:rPr>
        <w:t>On</w:t>
      </w:r>
      <w:r w:rsidR="00533D88" w:rsidRPr="009471F4">
        <w:rPr>
          <w:b/>
          <w:bCs/>
        </w:rPr>
        <w:t xml:space="preserve"> Latina characters:</w:t>
      </w:r>
    </w:p>
    <w:p w14:paraId="290498DF" w14:textId="765CB55E" w:rsidR="00533D88" w:rsidRPr="001713D6" w:rsidRDefault="00533D88" w:rsidP="00170F9D">
      <w:r w:rsidRPr="001713D6">
        <w:t>The Inclusion Initiative finds Latina characters to be hypersexualised disproportionately (where this is measured via characters “shown in sexually revealing attire”, shown “with some nudity”, and being “referenced as attractive by other characters”). They find:</w:t>
      </w:r>
    </w:p>
    <w:p w14:paraId="36298412" w14:textId="28DB904F" w:rsidR="00533D88" w:rsidRPr="001713D6" w:rsidRDefault="00533D88" w:rsidP="00170F9D">
      <w:pPr>
        <w:pStyle w:val="Quote"/>
      </w:pPr>
      <w:r w:rsidRPr="001713D6">
        <w:t xml:space="preserve">In 2018, Latinas were the most likely to be hypersexualized – as measured by sexy attire or some nudity – in comparison to females in 4 other groups (white, Black, Asian, other). Females from other racial/ethnic backgrounds were the most likely to be referenced as attractive, particularly in comparison to females that were Black, Asian, or Latina. There were no meaningful differences across the three </w:t>
      </w:r>
      <w:proofErr w:type="spellStart"/>
      <w:r w:rsidRPr="001713D6">
        <w:t>hypersexualization</w:t>
      </w:r>
      <w:proofErr w:type="spellEnd"/>
      <w:r w:rsidRPr="001713D6">
        <w:t xml:space="preserve"> indicators by race/ethnicity for male characters.</w:t>
      </w:r>
    </w:p>
    <w:p w14:paraId="0A3BF920" w14:textId="11E50DD3" w:rsidR="00875174" w:rsidRDefault="00875174" w:rsidP="00170F9D">
      <w:r w:rsidRPr="001713D6">
        <w:t xml:space="preserve">They also find that Latina characters were missing from 70 of the 100 top-grossing films in 2018, compared with 54 which didn’t feature Asian/Asian-American female characters, 33 which didn’t feature Black women, and 51 which didn’t feature </w:t>
      </w:r>
      <w:r w:rsidRPr="001713D6">
        <w:lastRenderedPageBreak/>
        <w:t>females from other/multiracial backgrounds. They report that “Erasure in 2018 was higher than in 2017 (64) for Latinas and does not differ from 2015 (65)”.</w:t>
      </w:r>
    </w:p>
    <w:p w14:paraId="1B5016AB" w14:textId="150D84AB" w:rsidR="001713D6" w:rsidRDefault="001713D6" w:rsidP="00170F9D">
      <w:r>
        <w:t>Interesting</w:t>
      </w:r>
      <w:r w:rsidR="00676860">
        <w:t>ly</w:t>
      </w:r>
      <w:r>
        <w:t>, Latinas seem to be the only minority ethnic group for whom visibility isn’t increasing:</w:t>
      </w:r>
    </w:p>
    <w:p w14:paraId="5A81ED19" w14:textId="0616EE3B" w:rsidR="001713D6" w:rsidRPr="001713D6" w:rsidRDefault="001713D6" w:rsidP="00170F9D">
      <w:r>
        <w:rPr>
          <w:noProof/>
        </w:rPr>
        <w:drawing>
          <wp:inline distT="0" distB="0" distL="0" distR="0" wp14:anchorId="38BDF8BE" wp14:editId="7CF518C5">
            <wp:extent cx="5731510" cy="21437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43760"/>
                    </a:xfrm>
                    <a:prstGeom prst="rect">
                      <a:avLst/>
                    </a:prstGeom>
                  </pic:spPr>
                </pic:pic>
              </a:graphicData>
            </a:graphic>
          </wp:inline>
        </w:drawing>
      </w:r>
    </w:p>
    <w:p w14:paraId="55D3AD04" w14:textId="287AA6B0" w:rsidR="00875174" w:rsidRPr="009471F4" w:rsidRDefault="00875174" w:rsidP="00170F9D">
      <w:pPr>
        <w:rPr>
          <w:b/>
          <w:bCs/>
        </w:rPr>
      </w:pPr>
      <w:r w:rsidRPr="009471F4">
        <w:rPr>
          <w:b/>
          <w:bCs/>
        </w:rPr>
        <w:t>On genre:</w:t>
      </w:r>
    </w:p>
    <w:p w14:paraId="4639ACF1" w14:textId="77777777" w:rsidR="00875174" w:rsidRPr="001713D6" w:rsidRDefault="00875174" w:rsidP="00170F9D">
      <w:r w:rsidRPr="001713D6">
        <w:t xml:space="preserve">The </w:t>
      </w:r>
      <w:proofErr w:type="spellStart"/>
      <w:r w:rsidRPr="001713D6">
        <w:t>Inclusionists</w:t>
      </w:r>
      <w:proofErr w:type="spellEnd"/>
      <w:r w:rsidRPr="001713D6">
        <w:t xml:space="preserve"> find that: </w:t>
      </w:r>
    </w:p>
    <w:p w14:paraId="5B14992C" w14:textId="198C4E07" w:rsidR="00875174" w:rsidRPr="00F279ED" w:rsidRDefault="00875174" w:rsidP="00170F9D">
      <w:pPr>
        <w:pStyle w:val="Quote"/>
      </w:pPr>
      <w:r w:rsidRPr="00F279ED">
        <w:t>The percentage of underrepresented characters was at a 12-year high in action/adventure movies (40.3% of all speaking characters). 2018 is 12.2 percentage points higher for underrepresented characters than 2017 (28.1%) and 18.8 percentage points higher than 2007 (21.5%).</w:t>
      </w:r>
    </w:p>
    <w:p w14:paraId="369A150C" w14:textId="26E6F72A" w:rsidR="00875174" w:rsidRDefault="00F279ED" w:rsidP="00170F9D">
      <w:r>
        <w:t>They only seem to collect data on action/adventure, animation and comedy. I didn’t love the way they presented the trends so I graphed it out:</w:t>
      </w:r>
    </w:p>
    <w:p w14:paraId="6DAFA8C7" w14:textId="7E36FD09" w:rsidR="00F279ED" w:rsidRPr="001713D6" w:rsidRDefault="00F279ED" w:rsidP="000F7CC2">
      <w:pPr>
        <w:jc w:val="center"/>
      </w:pPr>
      <w:r>
        <w:rPr>
          <w:noProof/>
        </w:rPr>
        <w:lastRenderedPageBreak/>
        <w:drawing>
          <wp:inline distT="0" distB="0" distL="0" distR="0" wp14:anchorId="1E965069" wp14:editId="079795A7">
            <wp:extent cx="5349240" cy="3566160"/>
            <wp:effectExtent l="0" t="0" r="3810" b="15240"/>
            <wp:docPr id="3" name="Chart 3">
              <a:extLst xmlns:a="http://schemas.openxmlformats.org/drawingml/2006/main">
                <a:ext uri="{FF2B5EF4-FFF2-40B4-BE49-F238E27FC236}">
                  <a16:creationId xmlns:a16="http://schemas.microsoft.com/office/drawing/2014/main" id="{838FE8A2-D000-454D-A90F-103CEAE419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866C58D" w14:textId="013A03FD" w:rsidR="0064383B" w:rsidRDefault="0064383B" w:rsidP="00170F9D">
      <w:r>
        <w:t xml:space="preserve">To me, this shows that action/adventure films have maintained a pretty flat rate of non-white prevalence – 2018 may be an anomaly given the consistency of the 2008-2017 figures – </w:t>
      </w:r>
      <w:r>
        <w:t>while there is</w:t>
      </w:r>
      <w:r>
        <w:t xml:space="preserve"> a much clearer upward trend in animation and, to a lesser extent, comedy.</w:t>
      </w:r>
    </w:p>
    <w:p w14:paraId="29B7A075" w14:textId="00BF7265" w:rsidR="000B60CD" w:rsidRDefault="000B60CD" w:rsidP="00170F9D">
      <w:r>
        <w:t>Overall, the Hollywood Diversity Report finds that the action genre surpassed drama as the single most common genre in their top-grossing list in 2017, and has increased its lead year on year since, now accounting for a quarter of the top-grossing films in 2019. (Note that their annual list selects the top 200 theatrically released films ranked by global box office and then removes foreign language films).</w:t>
      </w:r>
    </w:p>
    <w:p w14:paraId="7AD9A25D" w14:textId="3F6783D9" w:rsidR="00A20396" w:rsidRPr="001713D6" w:rsidRDefault="00A20396" w:rsidP="00170F9D">
      <w:r w:rsidRPr="001713D6">
        <w:t xml:space="preserve">It would be great to have more figures on </w:t>
      </w:r>
      <w:r w:rsidR="000B60CD">
        <w:t>character</w:t>
      </w:r>
      <w:r w:rsidR="00B5428B">
        <w:t xml:space="preserve"> prevalence by </w:t>
      </w:r>
      <w:r w:rsidR="000B60CD">
        <w:t xml:space="preserve">both </w:t>
      </w:r>
      <w:r w:rsidRPr="001713D6">
        <w:t>genre</w:t>
      </w:r>
      <w:r w:rsidR="000B60CD">
        <w:t xml:space="preserve"> and race/ethnicity</w:t>
      </w:r>
      <w:r w:rsidRPr="001713D6">
        <w:t>. I’ll see if I can turn any up in the peer-reviewed content analyses, which tend to be one-off studies rather than annual state-of-play reports, but might contain useful numbers</w:t>
      </w:r>
      <w:r w:rsidR="0064383B">
        <w:t xml:space="preserve"> for identifying a benchmark</w:t>
      </w:r>
      <w:r w:rsidRPr="001713D6">
        <w:t>.</w:t>
      </w:r>
    </w:p>
    <w:p w14:paraId="413C4CED" w14:textId="6561B5A4" w:rsidR="00875174" w:rsidRPr="009471F4" w:rsidRDefault="00875174" w:rsidP="00170F9D">
      <w:pPr>
        <w:rPr>
          <w:b/>
          <w:bCs/>
        </w:rPr>
      </w:pPr>
      <w:r w:rsidRPr="009471F4">
        <w:rPr>
          <w:b/>
          <w:bCs/>
        </w:rPr>
        <w:t>Behind the camera:</w:t>
      </w:r>
    </w:p>
    <w:p w14:paraId="712A52A2" w14:textId="523F5A44" w:rsidR="00F279ED" w:rsidRDefault="00F279ED" w:rsidP="00170F9D">
      <w:r>
        <w:t xml:space="preserve">On race of directors, the </w:t>
      </w:r>
      <w:proofErr w:type="spellStart"/>
      <w:r>
        <w:t>Inclusionists</w:t>
      </w:r>
      <w:proofErr w:type="spellEnd"/>
      <w:r>
        <w:t xml:space="preserve"> report that:</w:t>
      </w:r>
    </w:p>
    <w:p w14:paraId="4DB0CB2E" w14:textId="3EC39B51" w:rsidR="00875174" w:rsidRPr="001713D6" w:rsidRDefault="00875174" w:rsidP="00170F9D">
      <w:pPr>
        <w:pStyle w:val="Quote"/>
      </w:pPr>
      <w:r w:rsidRPr="001713D6">
        <w:t xml:space="preserve">Fifteen directors (13.4%) in 2018 were Black, with 14 males and 1 female. 2018 represents a historic high in hiring Black directors. This is primarily accounted for by the fact that Sony hired 4 Black directors to helm top motion pictures in 2018. Over the </w:t>
      </w:r>
      <w:proofErr w:type="gramStart"/>
      <w:r w:rsidRPr="001713D6">
        <w:t>12 year</w:t>
      </w:r>
      <w:proofErr w:type="gramEnd"/>
      <w:r w:rsidRPr="001713D6">
        <w:t xml:space="preserve"> sample, only 79 (5.9%) of 1,335 top jobs were held by Black directors.</w:t>
      </w:r>
    </w:p>
    <w:p w14:paraId="7452F0A3" w14:textId="5E9B54FE" w:rsidR="00875174" w:rsidRPr="001713D6" w:rsidRDefault="00875174" w:rsidP="00170F9D">
      <w:pPr>
        <w:pStyle w:val="Quote"/>
      </w:pPr>
      <w:r w:rsidRPr="001713D6">
        <w:t>…</w:t>
      </w:r>
    </w:p>
    <w:p w14:paraId="07574D88" w14:textId="088B98A2" w:rsidR="00875174" w:rsidRPr="001713D6" w:rsidRDefault="00875174" w:rsidP="00170F9D">
      <w:pPr>
        <w:pStyle w:val="Quote"/>
      </w:pPr>
      <w:r w:rsidRPr="001713D6">
        <w:lastRenderedPageBreak/>
        <w:t xml:space="preserve">Of the 112 directors of 2018, only 4 were Asian. This is only 3.6% of the entire sample of directors working across the 100 top fictional films. None of the 2018 directors were Asian women. No </w:t>
      </w:r>
      <w:proofErr w:type="spellStart"/>
      <w:r w:rsidRPr="001713D6">
        <w:t>over time</w:t>
      </w:r>
      <w:proofErr w:type="spellEnd"/>
      <w:r w:rsidRPr="001713D6">
        <w:t xml:space="preserve"> changes have been observed from 2007 to 2018. Only 3 jobs have been allotted to Asian female directors over the 12 years evaluated.</w:t>
      </w:r>
    </w:p>
    <w:p w14:paraId="708238FB" w14:textId="3E67056E" w:rsidR="00875174" w:rsidRDefault="00875174" w:rsidP="00170F9D">
      <w:pPr>
        <w:pStyle w:val="Quote"/>
      </w:pPr>
      <w:r w:rsidRPr="001713D6">
        <w:t>Only 3 directors were Latino and 4 MENA across the 100 top films of 2018.</w:t>
      </w:r>
    </w:p>
    <w:p w14:paraId="1148199E" w14:textId="697D0B83" w:rsidR="00170F9D" w:rsidRDefault="006F1BE0" w:rsidP="00170F9D">
      <w:r>
        <w:t>The trends in white vs non-white director prevalence are offered in the Hollywood Diversity Report:</w:t>
      </w:r>
    </w:p>
    <w:p w14:paraId="5F084715" w14:textId="58306239" w:rsidR="006F1BE0" w:rsidRDefault="006F1BE0" w:rsidP="006F1BE0">
      <w:pPr>
        <w:jc w:val="center"/>
      </w:pPr>
      <w:r>
        <w:rPr>
          <w:noProof/>
        </w:rPr>
        <w:drawing>
          <wp:inline distT="0" distB="0" distL="0" distR="0" wp14:anchorId="1742F387" wp14:editId="54B8BBA6">
            <wp:extent cx="5250180" cy="284099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8398"/>
                    <a:stretch/>
                  </pic:blipFill>
                  <pic:spPr bwMode="auto">
                    <a:xfrm>
                      <a:off x="0" y="0"/>
                      <a:ext cx="5250180" cy="2840990"/>
                    </a:xfrm>
                    <a:prstGeom prst="rect">
                      <a:avLst/>
                    </a:prstGeom>
                    <a:ln>
                      <a:noFill/>
                    </a:ln>
                    <a:extLst>
                      <a:ext uri="{53640926-AAD7-44D8-BBD7-CCE9431645EC}">
                        <a14:shadowObscured xmlns:a14="http://schemas.microsoft.com/office/drawing/2010/main"/>
                      </a:ext>
                    </a:extLst>
                  </pic:spPr>
                </pic:pic>
              </a:graphicData>
            </a:graphic>
          </wp:inline>
        </w:drawing>
      </w:r>
    </w:p>
    <w:p w14:paraId="5334F840" w14:textId="5F60D060" w:rsidR="005A29AB" w:rsidRPr="00170F9D" w:rsidRDefault="005A29AB" w:rsidP="005A29AB">
      <w:r>
        <w:t>And here’s that “Minority” category collapsed into groups for 2018 and 2019:</w:t>
      </w:r>
    </w:p>
    <w:tbl>
      <w:tblPr>
        <w:tblW w:w="2880" w:type="dxa"/>
        <w:jc w:val="center"/>
        <w:tblLook w:val="04A0" w:firstRow="1" w:lastRow="0" w:firstColumn="1" w:lastColumn="0" w:noHBand="0" w:noVBand="1"/>
      </w:tblPr>
      <w:tblGrid>
        <w:gridCol w:w="960"/>
        <w:gridCol w:w="960"/>
        <w:gridCol w:w="960"/>
      </w:tblGrid>
      <w:tr w:rsidR="005A29AB" w:rsidRPr="005A29AB" w14:paraId="3B18322A" w14:textId="77777777" w:rsidTr="005A29AB">
        <w:trPr>
          <w:trHeight w:val="288"/>
          <w:jc w:val="center"/>
        </w:trPr>
        <w:tc>
          <w:tcPr>
            <w:tcW w:w="960" w:type="dxa"/>
            <w:tcBorders>
              <w:top w:val="nil"/>
              <w:left w:val="nil"/>
              <w:bottom w:val="nil"/>
              <w:right w:val="nil"/>
            </w:tcBorders>
            <w:shd w:val="clear" w:color="auto" w:fill="auto"/>
            <w:noWrap/>
            <w:vAlign w:val="bottom"/>
            <w:hideMark/>
          </w:tcPr>
          <w:p w14:paraId="5EE68A25" w14:textId="77777777" w:rsidR="005A29AB" w:rsidRPr="005A29AB" w:rsidRDefault="005A29AB" w:rsidP="005A29AB">
            <w:pPr>
              <w:spacing w:after="0" w:line="240" w:lineRule="auto"/>
              <w:rPr>
                <w:rFonts w:eastAsia="Times New Roman"/>
                <w:color w:val="000000"/>
                <w:lang w:eastAsia="en-GB"/>
              </w:rPr>
            </w:pPr>
            <w:r w:rsidRPr="005A29AB">
              <w:rPr>
                <w:rFonts w:eastAsia="Times New Roman"/>
                <w:color w:val="000000"/>
                <w:lang w:eastAsia="en-GB"/>
              </w:rPr>
              <w:t>Group</w:t>
            </w:r>
          </w:p>
        </w:tc>
        <w:tc>
          <w:tcPr>
            <w:tcW w:w="960" w:type="dxa"/>
            <w:tcBorders>
              <w:top w:val="nil"/>
              <w:left w:val="nil"/>
              <w:bottom w:val="nil"/>
              <w:right w:val="nil"/>
            </w:tcBorders>
            <w:shd w:val="clear" w:color="auto" w:fill="auto"/>
            <w:noWrap/>
            <w:vAlign w:val="bottom"/>
            <w:hideMark/>
          </w:tcPr>
          <w:p w14:paraId="4D4E9943" w14:textId="77777777" w:rsidR="005A29AB" w:rsidRPr="005A29AB" w:rsidRDefault="005A29AB" w:rsidP="005A29AB">
            <w:pPr>
              <w:spacing w:after="0" w:line="240" w:lineRule="auto"/>
              <w:jc w:val="right"/>
              <w:rPr>
                <w:rFonts w:eastAsia="Times New Roman"/>
                <w:color w:val="000000"/>
                <w:lang w:eastAsia="en-GB"/>
              </w:rPr>
            </w:pPr>
            <w:r w:rsidRPr="005A29AB">
              <w:rPr>
                <w:rFonts w:eastAsia="Times New Roman"/>
                <w:color w:val="000000"/>
                <w:lang w:eastAsia="en-GB"/>
              </w:rPr>
              <w:t>2018</w:t>
            </w:r>
          </w:p>
        </w:tc>
        <w:tc>
          <w:tcPr>
            <w:tcW w:w="960" w:type="dxa"/>
            <w:tcBorders>
              <w:top w:val="nil"/>
              <w:left w:val="nil"/>
              <w:bottom w:val="nil"/>
              <w:right w:val="nil"/>
            </w:tcBorders>
            <w:shd w:val="clear" w:color="auto" w:fill="auto"/>
            <w:noWrap/>
            <w:vAlign w:val="bottom"/>
            <w:hideMark/>
          </w:tcPr>
          <w:p w14:paraId="5B5A87CA" w14:textId="77777777" w:rsidR="005A29AB" w:rsidRPr="005A29AB" w:rsidRDefault="005A29AB" w:rsidP="005A29AB">
            <w:pPr>
              <w:spacing w:after="0" w:line="240" w:lineRule="auto"/>
              <w:jc w:val="right"/>
              <w:rPr>
                <w:rFonts w:eastAsia="Times New Roman"/>
                <w:color w:val="000000"/>
                <w:lang w:eastAsia="en-GB"/>
              </w:rPr>
            </w:pPr>
            <w:r w:rsidRPr="005A29AB">
              <w:rPr>
                <w:rFonts w:eastAsia="Times New Roman"/>
                <w:color w:val="000000"/>
                <w:lang w:eastAsia="en-GB"/>
              </w:rPr>
              <w:t>2019</w:t>
            </w:r>
          </w:p>
        </w:tc>
      </w:tr>
      <w:tr w:rsidR="005A29AB" w:rsidRPr="005A29AB" w14:paraId="1244E35A" w14:textId="77777777" w:rsidTr="005A29AB">
        <w:trPr>
          <w:trHeight w:val="288"/>
          <w:jc w:val="center"/>
        </w:trPr>
        <w:tc>
          <w:tcPr>
            <w:tcW w:w="960" w:type="dxa"/>
            <w:tcBorders>
              <w:top w:val="nil"/>
              <w:left w:val="nil"/>
              <w:bottom w:val="nil"/>
              <w:right w:val="nil"/>
            </w:tcBorders>
            <w:shd w:val="clear" w:color="auto" w:fill="auto"/>
            <w:noWrap/>
            <w:vAlign w:val="bottom"/>
            <w:hideMark/>
          </w:tcPr>
          <w:p w14:paraId="2A4950AC" w14:textId="77777777" w:rsidR="005A29AB" w:rsidRPr="005A29AB" w:rsidRDefault="005A29AB" w:rsidP="005A29AB">
            <w:pPr>
              <w:spacing w:after="0" w:line="240" w:lineRule="auto"/>
              <w:rPr>
                <w:rFonts w:eastAsia="Times New Roman"/>
                <w:color w:val="000000"/>
                <w:lang w:eastAsia="en-GB"/>
              </w:rPr>
            </w:pPr>
            <w:r w:rsidRPr="005A29AB">
              <w:rPr>
                <w:rFonts w:eastAsia="Times New Roman"/>
                <w:color w:val="000000"/>
                <w:lang w:eastAsia="en-GB"/>
              </w:rPr>
              <w:t>White</w:t>
            </w:r>
          </w:p>
        </w:tc>
        <w:tc>
          <w:tcPr>
            <w:tcW w:w="960" w:type="dxa"/>
            <w:tcBorders>
              <w:top w:val="nil"/>
              <w:left w:val="nil"/>
              <w:bottom w:val="nil"/>
              <w:right w:val="nil"/>
            </w:tcBorders>
            <w:shd w:val="clear" w:color="auto" w:fill="auto"/>
            <w:noWrap/>
            <w:vAlign w:val="bottom"/>
            <w:hideMark/>
          </w:tcPr>
          <w:p w14:paraId="59A8A109" w14:textId="77777777" w:rsidR="005A29AB" w:rsidRPr="005A29AB" w:rsidRDefault="005A29AB" w:rsidP="005A29AB">
            <w:pPr>
              <w:spacing w:after="0" w:line="240" w:lineRule="auto"/>
              <w:jc w:val="right"/>
              <w:rPr>
                <w:rFonts w:eastAsia="Times New Roman"/>
                <w:color w:val="000000"/>
                <w:lang w:eastAsia="en-GB"/>
              </w:rPr>
            </w:pPr>
            <w:r w:rsidRPr="005A29AB">
              <w:rPr>
                <w:rFonts w:eastAsia="Times New Roman"/>
                <w:color w:val="000000"/>
                <w:lang w:eastAsia="en-GB"/>
              </w:rPr>
              <w:t>80.7%</w:t>
            </w:r>
          </w:p>
        </w:tc>
        <w:tc>
          <w:tcPr>
            <w:tcW w:w="960" w:type="dxa"/>
            <w:tcBorders>
              <w:top w:val="nil"/>
              <w:left w:val="nil"/>
              <w:bottom w:val="nil"/>
              <w:right w:val="nil"/>
            </w:tcBorders>
            <w:shd w:val="clear" w:color="auto" w:fill="auto"/>
            <w:noWrap/>
            <w:vAlign w:val="bottom"/>
            <w:hideMark/>
          </w:tcPr>
          <w:p w14:paraId="3536CC35" w14:textId="77777777" w:rsidR="005A29AB" w:rsidRPr="005A29AB" w:rsidRDefault="005A29AB" w:rsidP="005A29AB">
            <w:pPr>
              <w:spacing w:after="0" w:line="240" w:lineRule="auto"/>
              <w:jc w:val="right"/>
              <w:rPr>
                <w:rFonts w:eastAsia="Times New Roman"/>
                <w:color w:val="000000"/>
                <w:lang w:eastAsia="en-GB"/>
              </w:rPr>
            </w:pPr>
            <w:r w:rsidRPr="005A29AB">
              <w:rPr>
                <w:rFonts w:eastAsia="Times New Roman"/>
                <w:color w:val="000000"/>
                <w:lang w:eastAsia="en-GB"/>
              </w:rPr>
              <w:t>84.9%</w:t>
            </w:r>
          </w:p>
        </w:tc>
      </w:tr>
      <w:tr w:rsidR="005A29AB" w:rsidRPr="005A29AB" w14:paraId="272870B7" w14:textId="77777777" w:rsidTr="005A29AB">
        <w:trPr>
          <w:trHeight w:val="288"/>
          <w:jc w:val="center"/>
        </w:trPr>
        <w:tc>
          <w:tcPr>
            <w:tcW w:w="960" w:type="dxa"/>
            <w:tcBorders>
              <w:top w:val="nil"/>
              <w:left w:val="nil"/>
              <w:bottom w:val="nil"/>
              <w:right w:val="nil"/>
            </w:tcBorders>
            <w:shd w:val="clear" w:color="auto" w:fill="auto"/>
            <w:noWrap/>
            <w:vAlign w:val="bottom"/>
            <w:hideMark/>
          </w:tcPr>
          <w:p w14:paraId="77D29BDB" w14:textId="77777777" w:rsidR="005A29AB" w:rsidRPr="005A29AB" w:rsidRDefault="005A29AB" w:rsidP="005A29AB">
            <w:pPr>
              <w:spacing w:after="0" w:line="240" w:lineRule="auto"/>
              <w:rPr>
                <w:rFonts w:eastAsia="Times New Roman"/>
                <w:color w:val="000000"/>
                <w:lang w:eastAsia="en-GB"/>
              </w:rPr>
            </w:pPr>
            <w:r w:rsidRPr="005A29AB">
              <w:rPr>
                <w:rFonts w:eastAsia="Times New Roman"/>
                <w:color w:val="000000"/>
                <w:lang w:eastAsia="en-GB"/>
              </w:rPr>
              <w:t>Black</w:t>
            </w:r>
          </w:p>
        </w:tc>
        <w:tc>
          <w:tcPr>
            <w:tcW w:w="960" w:type="dxa"/>
            <w:tcBorders>
              <w:top w:val="nil"/>
              <w:left w:val="nil"/>
              <w:bottom w:val="nil"/>
              <w:right w:val="nil"/>
            </w:tcBorders>
            <w:shd w:val="clear" w:color="auto" w:fill="auto"/>
            <w:noWrap/>
            <w:vAlign w:val="bottom"/>
            <w:hideMark/>
          </w:tcPr>
          <w:p w14:paraId="65B2082F" w14:textId="77777777" w:rsidR="005A29AB" w:rsidRPr="005A29AB" w:rsidRDefault="005A29AB" w:rsidP="005A29AB">
            <w:pPr>
              <w:spacing w:after="0" w:line="240" w:lineRule="auto"/>
              <w:jc w:val="right"/>
              <w:rPr>
                <w:rFonts w:eastAsia="Times New Roman"/>
                <w:color w:val="000000"/>
                <w:lang w:eastAsia="en-GB"/>
              </w:rPr>
            </w:pPr>
            <w:r w:rsidRPr="005A29AB">
              <w:rPr>
                <w:rFonts w:eastAsia="Times New Roman"/>
                <w:color w:val="000000"/>
                <w:lang w:eastAsia="en-GB"/>
              </w:rPr>
              <w:t>10.7%</w:t>
            </w:r>
          </w:p>
        </w:tc>
        <w:tc>
          <w:tcPr>
            <w:tcW w:w="960" w:type="dxa"/>
            <w:tcBorders>
              <w:top w:val="nil"/>
              <w:left w:val="nil"/>
              <w:bottom w:val="nil"/>
              <w:right w:val="nil"/>
            </w:tcBorders>
            <w:shd w:val="clear" w:color="auto" w:fill="auto"/>
            <w:noWrap/>
            <w:vAlign w:val="bottom"/>
            <w:hideMark/>
          </w:tcPr>
          <w:p w14:paraId="79F0D501" w14:textId="77777777" w:rsidR="005A29AB" w:rsidRPr="005A29AB" w:rsidRDefault="005A29AB" w:rsidP="005A29AB">
            <w:pPr>
              <w:spacing w:after="0" w:line="240" w:lineRule="auto"/>
              <w:jc w:val="right"/>
              <w:rPr>
                <w:rFonts w:eastAsia="Times New Roman"/>
                <w:color w:val="000000"/>
                <w:lang w:eastAsia="en-GB"/>
              </w:rPr>
            </w:pPr>
            <w:r w:rsidRPr="005A29AB">
              <w:rPr>
                <w:rFonts w:eastAsia="Times New Roman"/>
                <w:color w:val="000000"/>
                <w:lang w:eastAsia="en-GB"/>
              </w:rPr>
              <w:t>5.5%</w:t>
            </w:r>
          </w:p>
        </w:tc>
      </w:tr>
      <w:tr w:rsidR="005A29AB" w:rsidRPr="005A29AB" w14:paraId="5A8E5BF0" w14:textId="77777777" w:rsidTr="005A29AB">
        <w:trPr>
          <w:trHeight w:val="288"/>
          <w:jc w:val="center"/>
        </w:trPr>
        <w:tc>
          <w:tcPr>
            <w:tcW w:w="960" w:type="dxa"/>
            <w:tcBorders>
              <w:top w:val="nil"/>
              <w:left w:val="nil"/>
              <w:bottom w:val="nil"/>
              <w:right w:val="nil"/>
            </w:tcBorders>
            <w:shd w:val="clear" w:color="auto" w:fill="auto"/>
            <w:noWrap/>
            <w:vAlign w:val="bottom"/>
            <w:hideMark/>
          </w:tcPr>
          <w:p w14:paraId="5578DEF1" w14:textId="77777777" w:rsidR="005A29AB" w:rsidRPr="005A29AB" w:rsidRDefault="005A29AB" w:rsidP="005A29AB">
            <w:pPr>
              <w:spacing w:after="0" w:line="240" w:lineRule="auto"/>
              <w:rPr>
                <w:rFonts w:eastAsia="Times New Roman"/>
                <w:color w:val="000000"/>
                <w:lang w:eastAsia="en-GB"/>
              </w:rPr>
            </w:pPr>
            <w:r w:rsidRPr="005A29AB">
              <w:rPr>
                <w:rFonts w:eastAsia="Times New Roman"/>
                <w:color w:val="000000"/>
                <w:lang w:eastAsia="en-GB"/>
              </w:rPr>
              <w:t>Latinx</w:t>
            </w:r>
          </w:p>
        </w:tc>
        <w:tc>
          <w:tcPr>
            <w:tcW w:w="960" w:type="dxa"/>
            <w:tcBorders>
              <w:top w:val="nil"/>
              <w:left w:val="nil"/>
              <w:bottom w:val="nil"/>
              <w:right w:val="nil"/>
            </w:tcBorders>
            <w:shd w:val="clear" w:color="auto" w:fill="auto"/>
            <w:noWrap/>
            <w:vAlign w:val="bottom"/>
            <w:hideMark/>
          </w:tcPr>
          <w:p w14:paraId="190DA1D0" w14:textId="77777777" w:rsidR="005A29AB" w:rsidRPr="005A29AB" w:rsidRDefault="005A29AB" w:rsidP="005A29AB">
            <w:pPr>
              <w:spacing w:after="0" w:line="240" w:lineRule="auto"/>
              <w:jc w:val="right"/>
              <w:rPr>
                <w:rFonts w:eastAsia="Times New Roman"/>
                <w:color w:val="000000"/>
                <w:lang w:eastAsia="en-GB"/>
              </w:rPr>
            </w:pPr>
            <w:r w:rsidRPr="005A29AB">
              <w:rPr>
                <w:rFonts w:eastAsia="Times New Roman"/>
                <w:color w:val="000000"/>
                <w:lang w:eastAsia="en-GB"/>
              </w:rPr>
              <w:t>0.7%</w:t>
            </w:r>
          </w:p>
        </w:tc>
        <w:tc>
          <w:tcPr>
            <w:tcW w:w="960" w:type="dxa"/>
            <w:tcBorders>
              <w:top w:val="nil"/>
              <w:left w:val="nil"/>
              <w:bottom w:val="nil"/>
              <w:right w:val="nil"/>
            </w:tcBorders>
            <w:shd w:val="clear" w:color="auto" w:fill="auto"/>
            <w:noWrap/>
            <w:vAlign w:val="bottom"/>
            <w:hideMark/>
          </w:tcPr>
          <w:p w14:paraId="3B056F5F" w14:textId="77777777" w:rsidR="005A29AB" w:rsidRPr="005A29AB" w:rsidRDefault="005A29AB" w:rsidP="005A29AB">
            <w:pPr>
              <w:spacing w:after="0" w:line="240" w:lineRule="auto"/>
              <w:jc w:val="right"/>
              <w:rPr>
                <w:rFonts w:eastAsia="Times New Roman"/>
                <w:color w:val="000000"/>
                <w:lang w:eastAsia="en-GB"/>
              </w:rPr>
            </w:pPr>
            <w:r w:rsidRPr="005A29AB">
              <w:rPr>
                <w:rFonts w:eastAsia="Times New Roman"/>
                <w:color w:val="000000"/>
                <w:lang w:eastAsia="en-GB"/>
              </w:rPr>
              <w:t>2.7%</w:t>
            </w:r>
          </w:p>
        </w:tc>
      </w:tr>
      <w:tr w:rsidR="005A29AB" w:rsidRPr="005A29AB" w14:paraId="00C4F021" w14:textId="77777777" w:rsidTr="005A29AB">
        <w:trPr>
          <w:trHeight w:val="288"/>
          <w:jc w:val="center"/>
        </w:trPr>
        <w:tc>
          <w:tcPr>
            <w:tcW w:w="960" w:type="dxa"/>
            <w:tcBorders>
              <w:top w:val="nil"/>
              <w:left w:val="nil"/>
              <w:bottom w:val="nil"/>
              <w:right w:val="nil"/>
            </w:tcBorders>
            <w:shd w:val="clear" w:color="auto" w:fill="auto"/>
            <w:noWrap/>
            <w:vAlign w:val="bottom"/>
            <w:hideMark/>
          </w:tcPr>
          <w:p w14:paraId="2269EA85" w14:textId="77777777" w:rsidR="005A29AB" w:rsidRPr="005A29AB" w:rsidRDefault="005A29AB" w:rsidP="005A29AB">
            <w:pPr>
              <w:spacing w:after="0" w:line="240" w:lineRule="auto"/>
              <w:rPr>
                <w:rFonts w:eastAsia="Times New Roman"/>
                <w:color w:val="000000"/>
                <w:lang w:eastAsia="en-GB"/>
              </w:rPr>
            </w:pPr>
            <w:r w:rsidRPr="005A29AB">
              <w:rPr>
                <w:rFonts w:eastAsia="Times New Roman"/>
                <w:color w:val="000000"/>
                <w:lang w:eastAsia="en-GB"/>
              </w:rPr>
              <w:t>Asian</w:t>
            </w:r>
          </w:p>
        </w:tc>
        <w:tc>
          <w:tcPr>
            <w:tcW w:w="960" w:type="dxa"/>
            <w:tcBorders>
              <w:top w:val="nil"/>
              <w:left w:val="nil"/>
              <w:bottom w:val="nil"/>
              <w:right w:val="nil"/>
            </w:tcBorders>
            <w:shd w:val="clear" w:color="auto" w:fill="auto"/>
            <w:noWrap/>
            <w:vAlign w:val="bottom"/>
            <w:hideMark/>
          </w:tcPr>
          <w:p w14:paraId="5456AC1C" w14:textId="77777777" w:rsidR="005A29AB" w:rsidRPr="005A29AB" w:rsidRDefault="005A29AB" w:rsidP="005A29AB">
            <w:pPr>
              <w:spacing w:after="0" w:line="240" w:lineRule="auto"/>
              <w:jc w:val="right"/>
              <w:rPr>
                <w:rFonts w:eastAsia="Times New Roman"/>
                <w:color w:val="000000"/>
                <w:lang w:eastAsia="en-GB"/>
              </w:rPr>
            </w:pPr>
            <w:r w:rsidRPr="005A29AB">
              <w:rPr>
                <w:rFonts w:eastAsia="Times New Roman"/>
                <w:color w:val="000000"/>
                <w:lang w:eastAsia="en-GB"/>
              </w:rPr>
              <w:t>4.3%</w:t>
            </w:r>
          </w:p>
        </w:tc>
        <w:tc>
          <w:tcPr>
            <w:tcW w:w="960" w:type="dxa"/>
            <w:tcBorders>
              <w:top w:val="nil"/>
              <w:left w:val="nil"/>
              <w:bottom w:val="nil"/>
              <w:right w:val="nil"/>
            </w:tcBorders>
            <w:shd w:val="clear" w:color="auto" w:fill="auto"/>
            <w:noWrap/>
            <w:vAlign w:val="bottom"/>
            <w:hideMark/>
          </w:tcPr>
          <w:p w14:paraId="1C158611" w14:textId="77777777" w:rsidR="005A29AB" w:rsidRPr="005A29AB" w:rsidRDefault="005A29AB" w:rsidP="005A29AB">
            <w:pPr>
              <w:spacing w:after="0" w:line="240" w:lineRule="auto"/>
              <w:jc w:val="right"/>
              <w:rPr>
                <w:rFonts w:eastAsia="Times New Roman"/>
                <w:color w:val="000000"/>
                <w:lang w:eastAsia="en-GB"/>
              </w:rPr>
            </w:pPr>
            <w:r w:rsidRPr="005A29AB">
              <w:rPr>
                <w:rFonts w:eastAsia="Times New Roman"/>
                <w:color w:val="000000"/>
                <w:lang w:eastAsia="en-GB"/>
              </w:rPr>
              <w:t>3.4%</w:t>
            </w:r>
          </w:p>
        </w:tc>
      </w:tr>
      <w:tr w:rsidR="005A29AB" w:rsidRPr="005A29AB" w14:paraId="098D845E" w14:textId="77777777" w:rsidTr="005A29AB">
        <w:trPr>
          <w:trHeight w:val="288"/>
          <w:jc w:val="center"/>
        </w:trPr>
        <w:tc>
          <w:tcPr>
            <w:tcW w:w="960" w:type="dxa"/>
            <w:tcBorders>
              <w:top w:val="nil"/>
              <w:left w:val="nil"/>
              <w:bottom w:val="nil"/>
              <w:right w:val="nil"/>
            </w:tcBorders>
            <w:shd w:val="clear" w:color="auto" w:fill="auto"/>
            <w:noWrap/>
            <w:vAlign w:val="bottom"/>
            <w:hideMark/>
          </w:tcPr>
          <w:p w14:paraId="1E3CCD13" w14:textId="77777777" w:rsidR="005A29AB" w:rsidRPr="005A29AB" w:rsidRDefault="005A29AB" w:rsidP="005A29AB">
            <w:pPr>
              <w:spacing w:after="0" w:line="240" w:lineRule="auto"/>
              <w:rPr>
                <w:rFonts w:eastAsia="Times New Roman"/>
                <w:color w:val="000000"/>
                <w:lang w:eastAsia="en-GB"/>
              </w:rPr>
            </w:pPr>
            <w:r w:rsidRPr="005A29AB">
              <w:rPr>
                <w:rFonts w:eastAsia="Times New Roman"/>
                <w:color w:val="000000"/>
                <w:lang w:eastAsia="en-GB"/>
              </w:rPr>
              <w:t>Multi</w:t>
            </w:r>
          </w:p>
        </w:tc>
        <w:tc>
          <w:tcPr>
            <w:tcW w:w="960" w:type="dxa"/>
            <w:tcBorders>
              <w:top w:val="nil"/>
              <w:left w:val="nil"/>
              <w:bottom w:val="nil"/>
              <w:right w:val="nil"/>
            </w:tcBorders>
            <w:shd w:val="clear" w:color="auto" w:fill="auto"/>
            <w:noWrap/>
            <w:vAlign w:val="bottom"/>
            <w:hideMark/>
          </w:tcPr>
          <w:p w14:paraId="1D941664" w14:textId="77777777" w:rsidR="005A29AB" w:rsidRPr="005A29AB" w:rsidRDefault="005A29AB" w:rsidP="005A29AB">
            <w:pPr>
              <w:spacing w:after="0" w:line="240" w:lineRule="auto"/>
              <w:jc w:val="right"/>
              <w:rPr>
                <w:rFonts w:eastAsia="Times New Roman"/>
                <w:color w:val="000000"/>
                <w:lang w:eastAsia="en-GB"/>
              </w:rPr>
            </w:pPr>
            <w:r w:rsidRPr="005A29AB">
              <w:rPr>
                <w:rFonts w:eastAsia="Times New Roman"/>
                <w:color w:val="000000"/>
                <w:lang w:eastAsia="en-GB"/>
              </w:rPr>
              <w:t>2.9%</w:t>
            </w:r>
          </w:p>
        </w:tc>
        <w:tc>
          <w:tcPr>
            <w:tcW w:w="960" w:type="dxa"/>
            <w:tcBorders>
              <w:top w:val="nil"/>
              <w:left w:val="nil"/>
              <w:bottom w:val="nil"/>
              <w:right w:val="nil"/>
            </w:tcBorders>
            <w:shd w:val="clear" w:color="auto" w:fill="auto"/>
            <w:noWrap/>
            <w:vAlign w:val="bottom"/>
            <w:hideMark/>
          </w:tcPr>
          <w:p w14:paraId="552BBA0E" w14:textId="77777777" w:rsidR="005A29AB" w:rsidRPr="005A29AB" w:rsidRDefault="005A29AB" w:rsidP="005A29AB">
            <w:pPr>
              <w:spacing w:after="0" w:line="240" w:lineRule="auto"/>
              <w:jc w:val="right"/>
              <w:rPr>
                <w:rFonts w:eastAsia="Times New Roman"/>
                <w:color w:val="000000"/>
                <w:lang w:eastAsia="en-GB"/>
              </w:rPr>
            </w:pPr>
            <w:r w:rsidRPr="005A29AB">
              <w:rPr>
                <w:rFonts w:eastAsia="Times New Roman"/>
                <w:color w:val="000000"/>
                <w:lang w:eastAsia="en-GB"/>
              </w:rPr>
              <w:t>2.7%</w:t>
            </w:r>
          </w:p>
        </w:tc>
      </w:tr>
      <w:tr w:rsidR="005A29AB" w:rsidRPr="005A29AB" w14:paraId="361CB7D1" w14:textId="77777777" w:rsidTr="005A29AB">
        <w:trPr>
          <w:trHeight w:val="288"/>
          <w:jc w:val="center"/>
        </w:trPr>
        <w:tc>
          <w:tcPr>
            <w:tcW w:w="960" w:type="dxa"/>
            <w:tcBorders>
              <w:top w:val="nil"/>
              <w:left w:val="nil"/>
              <w:bottom w:val="nil"/>
              <w:right w:val="nil"/>
            </w:tcBorders>
            <w:shd w:val="clear" w:color="auto" w:fill="auto"/>
            <w:noWrap/>
            <w:vAlign w:val="bottom"/>
            <w:hideMark/>
          </w:tcPr>
          <w:p w14:paraId="151BBAB4" w14:textId="77777777" w:rsidR="005A29AB" w:rsidRPr="005A29AB" w:rsidRDefault="005A29AB" w:rsidP="005A29AB">
            <w:pPr>
              <w:spacing w:after="0" w:line="240" w:lineRule="auto"/>
              <w:rPr>
                <w:rFonts w:eastAsia="Times New Roman"/>
                <w:color w:val="000000"/>
                <w:lang w:eastAsia="en-GB"/>
              </w:rPr>
            </w:pPr>
            <w:r w:rsidRPr="005A29AB">
              <w:rPr>
                <w:rFonts w:eastAsia="Times New Roman"/>
                <w:color w:val="000000"/>
                <w:lang w:eastAsia="en-GB"/>
              </w:rPr>
              <w:t>Native</w:t>
            </w:r>
          </w:p>
        </w:tc>
        <w:tc>
          <w:tcPr>
            <w:tcW w:w="960" w:type="dxa"/>
            <w:tcBorders>
              <w:top w:val="nil"/>
              <w:left w:val="nil"/>
              <w:bottom w:val="nil"/>
              <w:right w:val="nil"/>
            </w:tcBorders>
            <w:shd w:val="clear" w:color="auto" w:fill="auto"/>
            <w:noWrap/>
            <w:vAlign w:val="bottom"/>
            <w:hideMark/>
          </w:tcPr>
          <w:p w14:paraId="63D659D7" w14:textId="77777777" w:rsidR="005A29AB" w:rsidRPr="005A29AB" w:rsidRDefault="005A29AB" w:rsidP="005A29AB">
            <w:pPr>
              <w:spacing w:after="0" w:line="240" w:lineRule="auto"/>
              <w:jc w:val="right"/>
              <w:rPr>
                <w:rFonts w:eastAsia="Times New Roman"/>
                <w:color w:val="000000"/>
                <w:lang w:eastAsia="en-GB"/>
              </w:rPr>
            </w:pPr>
            <w:r w:rsidRPr="005A29AB">
              <w:rPr>
                <w:rFonts w:eastAsia="Times New Roman"/>
                <w:color w:val="000000"/>
                <w:lang w:eastAsia="en-GB"/>
              </w:rPr>
              <w:t>0.0%</w:t>
            </w:r>
          </w:p>
        </w:tc>
        <w:tc>
          <w:tcPr>
            <w:tcW w:w="960" w:type="dxa"/>
            <w:tcBorders>
              <w:top w:val="nil"/>
              <w:left w:val="nil"/>
              <w:bottom w:val="nil"/>
              <w:right w:val="nil"/>
            </w:tcBorders>
            <w:shd w:val="clear" w:color="auto" w:fill="auto"/>
            <w:noWrap/>
            <w:vAlign w:val="bottom"/>
            <w:hideMark/>
          </w:tcPr>
          <w:p w14:paraId="31416DC4" w14:textId="77777777" w:rsidR="005A29AB" w:rsidRPr="005A29AB" w:rsidRDefault="005A29AB" w:rsidP="005A29AB">
            <w:pPr>
              <w:spacing w:after="0" w:line="240" w:lineRule="auto"/>
              <w:jc w:val="right"/>
              <w:rPr>
                <w:rFonts w:eastAsia="Times New Roman"/>
                <w:color w:val="000000"/>
                <w:lang w:eastAsia="en-GB"/>
              </w:rPr>
            </w:pPr>
            <w:r w:rsidRPr="005A29AB">
              <w:rPr>
                <w:rFonts w:eastAsia="Times New Roman"/>
                <w:color w:val="000000"/>
                <w:lang w:eastAsia="en-GB"/>
              </w:rPr>
              <w:t>0.0%</w:t>
            </w:r>
          </w:p>
        </w:tc>
      </w:tr>
      <w:tr w:rsidR="005A29AB" w:rsidRPr="005A29AB" w14:paraId="2557C388" w14:textId="77777777" w:rsidTr="005A29AB">
        <w:trPr>
          <w:trHeight w:val="288"/>
          <w:jc w:val="center"/>
        </w:trPr>
        <w:tc>
          <w:tcPr>
            <w:tcW w:w="960" w:type="dxa"/>
            <w:tcBorders>
              <w:top w:val="nil"/>
              <w:left w:val="nil"/>
              <w:bottom w:val="nil"/>
              <w:right w:val="nil"/>
            </w:tcBorders>
            <w:shd w:val="clear" w:color="auto" w:fill="auto"/>
            <w:noWrap/>
            <w:vAlign w:val="bottom"/>
            <w:hideMark/>
          </w:tcPr>
          <w:p w14:paraId="06C4AEF0" w14:textId="77777777" w:rsidR="005A29AB" w:rsidRPr="005A29AB" w:rsidRDefault="005A29AB" w:rsidP="005A29AB">
            <w:pPr>
              <w:spacing w:after="0" w:line="240" w:lineRule="auto"/>
              <w:rPr>
                <w:rFonts w:eastAsia="Times New Roman"/>
                <w:color w:val="000000"/>
                <w:lang w:eastAsia="en-GB"/>
              </w:rPr>
            </w:pPr>
            <w:r w:rsidRPr="005A29AB">
              <w:rPr>
                <w:rFonts w:eastAsia="Times New Roman"/>
                <w:color w:val="000000"/>
                <w:lang w:eastAsia="en-GB"/>
              </w:rPr>
              <w:t>MENA</w:t>
            </w:r>
          </w:p>
        </w:tc>
        <w:tc>
          <w:tcPr>
            <w:tcW w:w="960" w:type="dxa"/>
            <w:tcBorders>
              <w:top w:val="nil"/>
              <w:left w:val="nil"/>
              <w:bottom w:val="nil"/>
              <w:right w:val="nil"/>
            </w:tcBorders>
            <w:shd w:val="clear" w:color="auto" w:fill="auto"/>
            <w:noWrap/>
            <w:vAlign w:val="bottom"/>
            <w:hideMark/>
          </w:tcPr>
          <w:p w14:paraId="4277D0C7" w14:textId="77777777" w:rsidR="005A29AB" w:rsidRPr="005A29AB" w:rsidRDefault="005A29AB" w:rsidP="005A29AB">
            <w:pPr>
              <w:spacing w:after="0" w:line="240" w:lineRule="auto"/>
              <w:jc w:val="right"/>
              <w:rPr>
                <w:rFonts w:eastAsia="Times New Roman"/>
                <w:color w:val="000000"/>
                <w:lang w:eastAsia="en-GB"/>
              </w:rPr>
            </w:pPr>
            <w:r w:rsidRPr="005A29AB">
              <w:rPr>
                <w:rFonts w:eastAsia="Times New Roman"/>
                <w:color w:val="000000"/>
                <w:lang w:eastAsia="en-GB"/>
              </w:rPr>
              <w:t>0.7%</w:t>
            </w:r>
          </w:p>
        </w:tc>
        <w:tc>
          <w:tcPr>
            <w:tcW w:w="960" w:type="dxa"/>
            <w:tcBorders>
              <w:top w:val="nil"/>
              <w:left w:val="nil"/>
              <w:bottom w:val="nil"/>
              <w:right w:val="nil"/>
            </w:tcBorders>
            <w:shd w:val="clear" w:color="auto" w:fill="auto"/>
            <w:noWrap/>
            <w:vAlign w:val="bottom"/>
            <w:hideMark/>
          </w:tcPr>
          <w:p w14:paraId="099146DA" w14:textId="77777777" w:rsidR="005A29AB" w:rsidRPr="005A29AB" w:rsidRDefault="005A29AB" w:rsidP="005A29AB">
            <w:pPr>
              <w:spacing w:after="0" w:line="240" w:lineRule="auto"/>
              <w:jc w:val="right"/>
              <w:rPr>
                <w:rFonts w:eastAsia="Times New Roman"/>
                <w:color w:val="000000"/>
                <w:lang w:eastAsia="en-GB"/>
              </w:rPr>
            </w:pPr>
            <w:r w:rsidRPr="005A29AB">
              <w:rPr>
                <w:rFonts w:eastAsia="Times New Roman"/>
                <w:color w:val="000000"/>
                <w:lang w:eastAsia="en-GB"/>
              </w:rPr>
              <w:t>0.7%</w:t>
            </w:r>
          </w:p>
        </w:tc>
      </w:tr>
    </w:tbl>
    <w:p w14:paraId="00E3412A" w14:textId="77777777" w:rsidR="005A29AB" w:rsidRDefault="005A29AB" w:rsidP="00170F9D"/>
    <w:p w14:paraId="7C0230A6" w14:textId="2E2A8DA6" w:rsidR="000C4D6D" w:rsidRDefault="000C4D6D" w:rsidP="00170F9D">
      <w:r>
        <w:t>Here’s the same graph for writers:</w:t>
      </w:r>
    </w:p>
    <w:p w14:paraId="3188EBF4" w14:textId="4ABFFD15" w:rsidR="000C4D6D" w:rsidRDefault="000C4D6D" w:rsidP="00170F9D">
      <w:r>
        <w:rPr>
          <w:noProof/>
        </w:rPr>
        <w:lastRenderedPageBreak/>
        <w:drawing>
          <wp:inline distT="0" distB="0" distL="0" distR="0" wp14:anchorId="425CF821" wp14:editId="240634CA">
            <wp:extent cx="5731510" cy="29006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00680"/>
                    </a:xfrm>
                    <a:prstGeom prst="rect">
                      <a:avLst/>
                    </a:prstGeom>
                  </pic:spPr>
                </pic:pic>
              </a:graphicData>
            </a:graphic>
          </wp:inline>
        </w:drawing>
      </w:r>
    </w:p>
    <w:p w14:paraId="2A074025" w14:textId="20EE9621" w:rsidR="000B60CD" w:rsidRDefault="000B60CD" w:rsidP="00170F9D">
      <w:r>
        <w:t xml:space="preserve">It’s probably less directly relevant for our purposes, but worth noting that the Hollywood Diversity Report finds that, among the </w:t>
      </w:r>
      <w:r w:rsidRPr="000B60CD">
        <w:t>11 major and mid-major studios</w:t>
      </w:r>
      <w:r>
        <w:t>:</w:t>
      </w:r>
    </w:p>
    <w:p w14:paraId="1B76BDB6" w14:textId="442BBE8C" w:rsidR="00875174" w:rsidRDefault="000B60CD" w:rsidP="00574C8F">
      <w:pPr>
        <w:pStyle w:val="Quote"/>
      </w:pPr>
      <w:r w:rsidRPr="000B60CD">
        <w:t xml:space="preserve">The heads of these </w:t>
      </w:r>
      <w:r w:rsidRPr="00170F9D">
        <w:t>studios</w:t>
      </w:r>
      <w:r w:rsidRPr="000B60CD">
        <w:t xml:space="preserve"> (“Chair/CEO”) were</w:t>
      </w:r>
      <w:r>
        <w:t xml:space="preserve"> </w:t>
      </w:r>
      <w:r w:rsidRPr="000B60CD">
        <w:t>91 percent White and 82 percent male. A level down in the hierarchy (“Senior Executives”), the senior</w:t>
      </w:r>
      <w:r>
        <w:t xml:space="preserve"> </w:t>
      </w:r>
      <w:r w:rsidRPr="000B60CD">
        <w:t>management teams were 93 percent White and 80 percent male</w:t>
      </w:r>
      <w:r>
        <w:t xml:space="preserve">. </w:t>
      </w:r>
      <w:r w:rsidRPr="000B60CD">
        <w:t>And while the executives responsible</w:t>
      </w:r>
      <w:r>
        <w:t xml:space="preserve"> </w:t>
      </w:r>
      <w:r w:rsidRPr="000B60CD">
        <w:t>for casting, marketing, legal and other core studio functions (“Unit Heads”) were a little more diverse in</w:t>
      </w:r>
      <w:r>
        <w:t xml:space="preserve"> </w:t>
      </w:r>
      <w:r w:rsidRPr="000B60CD">
        <w:t>terms of gender (only 59 percent male), they too were overwhelmingly White (86 percent).</w:t>
      </w:r>
    </w:p>
    <w:p w14:paraId="65158890" w14:textId="16690FEF" w:rsidR="00721A7E" w:rsidRPr="001713D6" w:rsidRDefault="000B60CD" w:rsidP="00721A7E">
      <w:r>
        <w:t xml:space="preserve">This is not only out of keeping with the US population, but with the movie-going audience – they find that </w:t>
      </w:r>
      <w:r w:rsidR="00721A7E">
        <w:t>“</w:t>
      </w:r>
      <w:r w:rsidR="00721A7E">
        <w:t xml:space="preserve">In 2019, people of </w:t>
      </w:r>
      <w:proofErr w:type="spellStart"/>
      <w:r w:rsidR="00721A7E">
        <w:t>color</w:t>
      </w:r>
      <w:proofErr w:type="spellEnd"/>
      <w:r w:rsidR="00721A7E">
        <w:t xml:space="preserve"> were responsible for the majority of domestic ticket sales for eight of the top 10</w:t>
      </w:r>
      <w:r w:rsidR="00721A7E">
        <w:t xml:space="preserve"> </w:t>
      </w:r>
      <w:r w:rsidR="00721A7E">
        <w:t>films</w:t>
      </w:r>
      <w:r w:rsidR="00721A7E">
        <w:t xml:space="preserve"> [up from 6 of the top 10 in 2018 and 5 in 2017]</w:t>
      </w:r>
      <w:r w:rsidR="00721A7E">
        <w:t>, ranked by global box office, and half of the ticket sales for a ninth top 10 film</w:t>
      </w:r>
      <w:r w:rsidR="00721A7E">
        <w:t>” – the greatest share</w:t>
      </w:r>
      <w:r w:rsidR="00574C8F">
        <w:t xml:space="preserve"> among these 10 films</w:t>
      </w:r>
      <w:r w:rsidR="00721A7E">
        <w:t xml:space="preserve"> was for </w:t>
      </w:r>
      <w:r w:rsidR="00721A7E" w:rsidRPr="00721A7E">
        <w:rPr>
          <w:i/>
          <w:iCs/>
        </w:rPr>
        <w:t>Fast &amp; Furious Presents: Hobbs &amp; Shaw</w:t>
      </w:r>
      <w:r w:rsidR="00721A7E">
        <w:t xml:space="preserve"> (60% minority audience)</w:t>
      </w:r>
      <w:r w:rsidR="00721A7E">
        <w:t>.</w:t>
      </w:r>
      <w:r w:rsidR="00721A7E">
        <w:t xml:space="preserve"> They also find that </w:t>
      </w:r>
      <w:r w:rsidR="00721A7E">
        <w:t xml:space="preserve">Latinx and Asian viewers </w:t>
      </w:r>
      <w:r w:rsidR="00721A7E">
        <w:t xml:space="preserve">are </w:t>
      </w:r>
      <w:r w:rsidR="00721A7E">
        <w:t xml:space="preserve">overrepresented among </w:t>
      </w:r>
      <w:r w:rsidR="00721A7E">
        <w:t xml:space="preserve">frequent </w:t>
      </w:r>
      <w:r w:rsidR="00721A7E">
        <w:t>movie-goers and Whites underrepresented relative to population proportions.</w:t>
      </w:r>
    </w:p>
    <w:sectPr w:rsidR="00721A7E" w:rsidRPr="001713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A3D2A"/>
    <w:multiLevelType w:val="hybridMultilevel"/>
    <w:tmpl w:val="434C109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BF2"/>
    <w:rsid w:val="00082EB2"/>
    <w:rsid w:val="000B60CD"/>
    <w:rsid w:val="000C4D6D"/>
    <w:rsid w:val="000F6BF2"/>
    <w:rsid w:val="000F7CC2"/>
    <w:rsid w:val="00170F9D"/>
    <w:rsid w:val="001713D6"/>
    <w:rsid w:val="00533D88"/>
    <w:rsid w:val="00574C8F"/>
    <w:rsid w:val="005A29AB"/>
    <w:rsid w:val="0064383B"/>
    <w:rsid w:val="00676860"/>
    <w:rsid w:val="006F1BE0"/>
    <w:rsid w:val="00721A7E"/>
    <w:rsid w:val="00725140"/>
    <w:rsid w:val="00875174"/>
    <w:rsid w:val="009471F4"/>
    <w:rsid w:val="00A20396"/>
    <w:rsid w:val="00B5428B"/>
    <w:rsid w:val="00F279ED"/>
    <w:rsid w:val="00FF2B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22A83"/>
  <w15:chartTrackingRefBased/>
  <w15:docId w15:val="{4CD3DBDA-D7A4-47E7-97F7-BB0C6144A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F9D"/>
    <w:rPr>
      <w:rFonts w:ascii="Arial" w:hAnsi="Arial" w:cs="Arial"/>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F279ED"/>
    <w:pPr>
      <w:spacing w:before="200"/>
      <w:ind w:left="864" w:right="864"/>
    </w:pPr>
    <w:rPr>
      <w:color w:val="404040" w:themeColor="text1" w:themeTint="BF"/>
    </w:rPr>
  </w:style>
  <w:style w:type="character" w:customStyle="1" w:styleId="QuoteChar">
    <w:name w:val="Quote Char"/>
    <w:basedOn w:val="DefaultParagraphFont"/>
    <w:link w:val="Quote"/>
    <w:uiPriority w:val="29"/>
    <w:rsid w:val="00F279ED"/>
    <w:rPr>
      <w:rFonts w:ascii="Arial" w:hAnsi="Arial" w:cs="Arial"/>
      <w:color w:val="404040" w:themeColor="text1" w:themeTint="BF"/>
      <w:sz w:val="24"/>
      <w:szCs w:val="24"/>
    </w:rPr>
  </w:style>
  <w:style w:type="character" w:styleId="Hyperlink">
    <w:name w:val="Hyperlink"/>
    <w:basedOn w:val="DefaultParagraphFont"/>
    <w:uiPriority w:val="99"/>
    <w:unhideWhenUsed/>
    <w:rsid w:val="00A20396"/>
    <w:rPr>
      <w:color w:val="0563C1" w:themeColor="hyperlink"/>
      <w:u w:val="single"/>
    </w:rPr>
  </w:style>
  <w:style w:type="character" w:styleId="UnresolvedMention">
    <w:name w:val="Unresolved Mention"/>
    <w:basedOn w:val="DefaultParagraphFont"/>
    <w:uiPriority w:val="99"/>
    <w:semiHidden/>
    <w:unhideWhenUsed/>
    <w:rsid w:val="00A20396"/>
    <w:rPr>
      <w:color w:val="605E5C"/>
      <w:shd w:val="clear" w:color="auto" w:fill="E1DFDD"/>
    </w:rPr>
  </w:style>
  <w:style w:type="paragraph" w:styleId="ListParagraph">
    <w:name w:val="List Paragraph"/>
    <w:basedOn w:val="Normal"/>
    <w:uiPriority w:val="34"/>
    <w:qFormat/>
    <w:rsid w:val="001713D6"/>
    <w:pPr>
      <w:ind w:left="720"/>
      <w:contextualSpacing/>
    </w:pPr>
  </w:style>
  <w:style w:type="table" w:styleId="TableGrid">
    <w:name w:val="Table Grid"/>
    <w:basedOn w:val="TableNormal"/>
    <w:uiPriority w:val="39"/>
    <w:rsid w:val="00725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70F9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29926">
      <w:bodyDiv w:val="1"/>
      <w:marLeft w:val="0"/>
      <w:marRight w:val="0"/>
      <w:marTop w:val="0"/>
      <w:marBottom w:val="0"/>
      <w:divBdr>
        <w:top w:val="none" w:sz="0" w:space="0" w:color="auto"/>
        <w:left w:val="none" w:sz="0" w:space="0" w:color="auto"/>
        <w:bottom w:val="none" w:sz="0" w:space="0" w:color="auto"/>
        <w:right w:val="none" w:sz="0" w:space="0" w:color="auto"/>
      </w:divBdr>
    </w:div>
    <w:div w:id="1827166341">
      <w:bodyDiv w:val="1"/>
      <w:marLeft w:val="0"/>
      <w:marRight w:val="0"/>
      <w:marTop w:val="0"/>
      <w:marBottom w:val="0"/>
      <w:divBdr>
        <w:top w:val="none" w:sz="0" w:space="0" w:color="auto"/>
        <w:left w:val="none" w:sz="0" w:space="0" w:color="auto"/>
        <w:bottom w:val="none" w:sz="0" w:space="0" w:color="auto"/>
        <w:right w:val="none" w:sz="0" w:space="0" w:color="auto"/>
      </w:divBdr>
    </w:div>
    <w:div w:id="193327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socialsciences.ucla.edu/hollywood-diversity-report-2020/"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nenberg.usc.edu/research/aii" TargetMode="External"/><Relationship Id="rId11" Type="http://schemas.openxmlformats.org/officeDocument/2006/relationships/chart" Target="charts/chart1.xml"/><Relationship Id="rId5" Type="http://schemas.openxmlformats.org/officeDocument/2006/relationships/hyperlink" Target="https://womenintvfilm.sdsu.edu/research/"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baseline="0"/>
              <a:t>Non-white characters </a:t>
            </a:r>
            <a:r>
              <a:rPr lang="en-GB" sz="1400" b="0" i="0" u="none" strike="noStrike" baseline="0">
                <a:effectLst/>
              </a:rPr>
              <a:t>as % of total </a:t>
            </a:r>
            <a:r>
              <a:rPr lang="en-GB" baseline="0"/>
              <a:t>by genre </a:t>
            </a:r>
          </a:p>
          <a:p>
            <a:pPr>
              <a:defRPr/>
            </a:pPr>
            <a:r>
              <a:rPr lang="en-GB" baseline="0"/>
              <a:t>(2007-2018)</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lineChart>
        <c:grouping val="standard"/>
        <c:varyColors val="0"/>
        <c:ser>
          <c:idx val="1"/>
          <c:order val="0"/>
          <c:tx>
            <c:strRef>
              <c:f>Sheet1!$B$1</c:f>
              <c:strCache>
                <c:ptCount val="1"/>
                <c:pt idx="0">
                  <c:v>Action/Adventure</c:v>
                </c:pt>
              </c:strCache>
            </c:strRef>
          </c:tx>
          <c:spPr>
            <a:ln w="28575" cap="rnd">
              <a:solidFill>
                <a:schemeClr val="accent2"/>
              </a:solidFill>
              <a:round/>
            </a:ln>
            <a:effectLst/>
          </c:spPr>
          <c:marker>
            <c:symbol val="none"/>
          </c:marker>
          <c:cat>
            <c:numRef>
              <c:f>Sheet1!$A$2:$A$13</c:f>
              <c:numCache>
                <c:formatCode>General</c:formatCode>
                <c:ptCount val="12"/>
                <c:pt idx="0">
                  <c:v>2007</c:v>
                </c:pt>
                <c:pt idx="1">
                  <c:v>2008</c:v>
                </c:pt>
                <c:pt idx="2">
                  <c:v>2009</c:v>
                </c:pt>
                <c:pt idx="3">
                  <c:v>2010</c:v>
                </c:pt>
                <c:pt idx="4">
                  <c:v>2011</c:v>
                </c:pt>
                <c:pt idx="5">
                  <c:v>2012</c:v>
                </c:pt>
                <c:pt idx="6">
                  <c:v>2013</c:v>
                </c:pt>
                <c:pt idx="7">
                  <c:v>2014</c:v>
                </c:pt>
                <c:pt idx="8">
                  <c:v>2015</c:v>
                </c:pt>
                <c:pt idx="9">
                  <c:v>2016</c:v>
                </c:pt>
                <c:pt idx="10">
                  <c:v>2017</c:v>
                </c:pt>
                <c:pt idx="11">
                  <c:v>2018</c:v>
                </c:pt>
              </c:numCache>
            </c:numRef>
          </c:cat>
          <c:val>
            <c:numRef>
              <c:f>Sheet1!$B$2:$B$13</c:f>
              <c:numCache>
                <c:formatCode>0.00%</c:formatCode>
                <c:ptCount val="12"/>
                <c:pt idx="0">
                  <c:v>0.215</c:v>
                </c:pt>
                <c:pt idx="1">
                  <c:v>0.32100000000000001</c:v>
                </c:pt>
                <c:pt idx="2">
                  <c:v>0.23400000000000001</c:v>
                </c:pt>
                <c:pt idx="3" formatCode="0%">
                  <c:v>0.3</c:v>
                </c:pt>
                <c:pt idx="4">
                  <c:v>0.252</c:v>
                </c:pt>
                <c:pt idx="5">
                  <c:v>0.29399999999999998</c:v>
                </c:pt>
                <c:pt idx="6">
                  <c:v>0.26900000000000002</c:v>
                </c:pt>
                <c:pt idx="7">
                  <c:v>0.249</c:v>
                </c:pt>
                <c:pt idx="8">
                  <c:v>0.28899999999999998</c:v>
                </c:pt>
                <c:pt idx="9">
                  <c:v>0.27300000000000002</c:v>
                </c:pt>
                <c:pt idx="10">
                  <c:v>0.28100000000000003</c:v>
                </c:pt>
                <c:pt idx="11">
                  <c:v>0.40300000000000002</c:v>
                </c:pt>
              </c:numCache>
            </c:numRef>
          </c:val>
          <c:smooth val="0"/>
          <c:extLst>
            <c:ext xmlns:c16="http://schemas.microsoft.com/office/drawing/2014/chart" uri="{C3380CC4-5D6E-409C-BE32-E72D297353CC}">
              <c16:uniqueId val="{00000000-29E9-4C2C-85EF-02A0062439F1}"/>
            </c:ext>
          </c:extLst>
        </c:ser>
        <c:ser>
          <c:idx val="2"/>
          <c:order val="1"/>
          <c:tx>
            <c:strRef>
              <c:f>Sheet1!$C$1</c:f>
              <c:strCache>
                <c:ptCount val="1"/>
                <c:pt idx="0">
                  <c:v>Animation</c:v>
                </c:pt>
              </c:strCache>
            </c:strRef>
          </c:tx>
          <c:spPr>
            <a:ln w="28575" cap="rnd">
              <a:solidFill>
                <a:schemeClr val="accent3"/>
              </a:solidFill>
              <a:round/>
            </a:ln>
            <a:effectLst/>
          </c:spPr>
          <c:marker>
            <c:symbol val="none"/>
          </c:marker>
          <c:cat>
            <c:numRef>
              <c:f>Sheet1!$A$2:$A$13</c:f>
              <c:numCache>
                <c:formatCode>General</c:formatCode>
                <c:ptCount val="12"/>
                <c:pt idx="0">
                  <c:v>2007</c:v>
                </c:pt>
                <c:pt idx="1">
                  <c:v>2008</c:v>
                </c:pt>
                <c:pt idx="2">
                  <c:v>2009</c:v>
                </c:pt>
                <c:pt idx="3">
                  <c:v>2010</c:v>
                </c:pt>
                <c:pt idx="4">
                  <c:v>2011</c:v>
                </c:pt>
                <c:pt idx="5">
                  <c:v>2012</c:v>
                </c:pt>
                <c:pt idx="6">
                  <c:v>2013</c:v>
                </c:pt>
                <c:pt idx="7">
                  <c:v>2014</c:v>
                </c:pt>
                <c:pt idx="8">
                  <c:v>2015</c:v>
                </c:pt>
                <c:pt idx="9">
                  <c:v>2016</c:v>
                </c:pt>
                <c:pt idx="10">
                  <c:v>2017</c:v>
                </c:pt>
                <c:pt idx="11">
                  <c:v>2018</c:v>
                </c:pt>
              </c:numCache>
            </c:numRef>
          </c:cat>
          <c:val>
            <c:numRef>
              <c:f>Sheet1!$C$2:$C$13</c:f>
              <c:numCache>
                <c:formatCode>0.00%</c:formatCode>
                <c:ptCount val="12"/>
                <c:pt idx="0">
                  <c:v>8.1000000000000003E-2</c:v>
                </c:pt>
                <c:pt idx="1">
                  <c:v>0.105</c:v>
                </c:pt>
                <c:pt idx="2">
                  <c:v>0.123</c:v>
                </c:pt>
                <c:pt idx="3">
                  <c:v>1.4999999999999999E-2</c:v>
                </c:pt>
                <c:pt idx="4">
                  <c:v>0.27500000000000002</c:v>
                </c:pt>
                <c:pt idx="5">
                  <c:v>5.2999999999999999E-2</c:v>
                </c:pt>
                <c:pt idx="6">
                  <c:v>0.124</c:v>
                </c:pt>
                <c:pt idx="7">
                  <c:v>0.33500000000000002</c:v>
                </c:pt>
                <c:pt idx="8">
                  <c:v>0.13200000000000001</c:v>
                </c:pt>
                <c:pt idx="9">
                  <c:v>0.48499999999999999</c:v>
                </c:pt>
                <c:pt idx="10" formatCode="0%">
                  <c:v>0.34</c:v>
                </c:pt>
                <c:pt idx="11">
                  <c:v>0.35599999999999998</c:v>
                </c:pt>
              </c:numCache>
            </c:numRef>
          </c:val>
          <c:smooth val="0"/>
          <c:extLst>
            <c:ext xmlns:c16="http://schemas.microsoft.com/office/drawing/2014/chart" uri="{C3380CC4-5D6E-409C-BE32-E72D297353CC}">
              <c16:uniqueId val="{00000001-29E9-4C2C-85EF-02A0062439F1}"/>
            </c:ext>
          </c:extLst>
        </c:ser>
        <c:ser>
          <c:idx val="3"/>
          <c:order val="2"/>
          <c:tx>
            <c:strRef>
              <c:f>Sheet1!$D$1</c:f>
              <c:strCache>
                <c:ptCount val="1"/>
                <c:pt idx="0">
                  <c:v>Comedy</c:v>
                </c:pt>
              </c:strCache>
            </c:strRef>
          </c:tx>
          <c:spPr>
            <a:ln w="28575" cap="rnd">
              <a:solidFill>
                <a:schemeClr val="accent4"/>
              </a:solidFill>
              <a:round/>
            </a:ln>
            <a:effectLst/>
          </c:spPr>
          <c:marker>
            <c:symbol val="none"/>
          </c:marker>
          <c:cat>
            <c:numRef>
              <c:f>Sheet1!$A$2:$A$13</c:f>
              <c:numCache>
                <c:formatCode>General</c:formatCode>
                <c:ptCount val="12"/>
                <c:pt idx="0">
                  <c:v>2007</c:v>
                </c:pt>
                <c:pt idx="1">
                  <c:v>2008</c:v>
                </c:pt>
                <c:pt idx="2">
                  <c:v>2009</c:v>
                </c:pt>
                <c:pt idx="3">
                  <c:v>2010</c:v>
                </c:pt>
                <c:pt idx="4">
                  <c:v>2011</c:v>
                </c:pt>
                <c:pt idx="5">
                  <c:v>2012</c:v>
                </c:pt>
                <c:pt idx="6">
                  <c:v>2013</c:v>
                </c:pt>
                <c:pt idx="7">
                  <c:v>2014</c:v>
                </c:pt>
                <c:pt idx="8">
                  <c:v>2015</c:v>
                </c:pt>
                <c:pt idx="9">
                  <c:v>2016</c:v>
                </c:pt>
                <c:pt idx="10">
                  <c:v>2017</c:v>
                </c:pt>
                <c:pt idx="11">
                  <c:v>2018</c:v>
                </c:pt>
              </c:numCache>
            </c:numRef>
          </c:cat>
          <c:val>
            <c:numRef>
              <c:f>Sheet1!$D$2:$D$13</c:f>
              <c:numCache>
                <c:formatCode>0.00%</c:formatCode>
                <c:ptCount val="12"/>
                <c:pt idx="0">
                  <c:v>0.23100000000000001</c:v>
                </c:pt>
                <c:pt idx="1">
                  <c:v>0.27800000000000002</c:v>
                </c:pt>
                <c:pt idx="2">
                  <c:v>0.247</c:v>
                </c:pt>
                <c:pt idx="3">
                  <c:v>0.23400000000000001</c:v>
                </c:pt>
                <c:pt idx="4">
                  <c:v>0.26900000000000002</c:v>
                </c:pt>
                <c:pt idx="5">
                  <c:v>0.24099999999999999</c:v>
                </c:pt>
                <c:pt idx="6">
                  <c:v>0.27600000000000002</c:v>
                </c:pt>
                <c:pt idx="7">
                  <c:v>0.27200000000000002</c:v>
                </c:pt>
                <c:pt idx="8">
                  <c:v>0.27300000000000002</c:v>
                </c:pt>
                <c:pt idx="9">
                  <c:v>0.32100000000000001</c:v>
                </c:pt>
                <c:pt idx="10">
                  <c:v>0.35599999999999998</c:v>
                </c:pt>
                <c:pt idx="11" formatCode="0%">
                  <c:v>0.38</c:v>
                </c:pt>
              </c:numCache>
            </c:numRef>
          </c:val>
          <c:smooth val="0"/>
          <c:extLst>
            <c:ext xmlns:c16="http://schemas.microsoft.com/office/drawing/2014/chart" uri="{C3380CC4-5D6E-409C-BE32-E72D297353CC}">
              <c16:uniqueId val="{00000002-29E9-4C2C-85EF-02A0062439F1}"/>
            </c:ext>
          </c:extLst>
        </c:ser>
        <c:dLbls>
          <c:showLegendKey val="0"/>
          <c:showVal val="0"/>
          <c:showCatName val="0"/>
          <c:showSerName val="0"/>
          <c:showPercent val="0"/>
          <c:showBubbleSize val="0"/>
        </c:dLbls>
        <c:smooth val="0"/>
        <c:axId val="1577812527"/>
        <c:axId val="1530859839"/>
      </c:lineChart>
      <c:catAx>
        <c:axId val="15778125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530859839"/>
        <c:crosses val="autoZero"/>
        <c:auto val="1"/>
        <c:lblAlgn val="ctr"/>
        <c:lblOffset val="100"/>
        <c:noMultiLvlLbl val="0"/>
      </c:catAx>
      <c:valAx>
        <c:axId val="153085983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5778125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1272</Words>
  <Characters>7253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Jones</dc:creator>
  <cp:keywords/>
  <dc:description/>
  <cp:lastModifiedBy>Pete Jones</cp:lastModifiedBy>
  <cp:revision>11</cp:revision>
  <dcterms:created xsi:type="dcterms:W3CDTF">2020-04-24T13:34:00Z</dcterms:created>
  <dcterms:modified xsi:type="dcterms:W3CDTF">2020-04-27T14:46:00Z</dcterms:modified>
</cp:coreProperties>
</file>