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Primer</w:t>
      </w:r>
      <w:r>
        <w:t xml:space="preserve"> </w:t>
      </w:r>
      <w:r>
        <w:t xml:space="preserve">reporte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</w:p>
    <w:p>
      <w:pPr>
        <w:pStyle w:val="Heading1"/>
      </w:pPr>
      <w:bookmarkStart w:id="20" w:name="análisis-covid"/>
      <w:r>
        <w:t xml:space="preserve">Análisis COVID</w:t>
      </w:r>
      <w:bookmarkEnd w:id="20"/>
    </w:p>
    <w:p>
      <w:pPr>
        <w:pStyle w:val="FirstParagraph"/>
      </w:pPr>
      <w:r>
        <w:t xml:space="preserve">El siguiente gráfico representa la evolución de los casos nuevos de COVID en las distintas regiones de Chile.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raPruebaR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ven distintas trayectorias en las regiones del país.</w:t>
      </w:r>
    </w:p>
    <w:p>
      <w:pPr>
        <w:pStyle w:val="BodyText"/>
      </w:pPr>
      <w:r>
        <w:t xml:space="preserve">La región que ha presentado el mayor número de casos nuevos en las últimas dos semanas es</w:t>
      </w:r>
      <w:r>
        <w:t xml:space="preserve"> </w:t>
      </w:r>
      <w:r>
        <w:t xml:space="preserve">la región Metropolitana con</w:t>
      </w:r>
      <w:r>
        <w:t xml:space="preserve"> </w:t>
      </w:r>
      <w:r>
        <w:rPr>
          <w:b/>
        </w:rPr>
        <w:t xml:space="preserve">2778.2</w:t>
      </w:r>
      <w:r>
        <w:t xml:space="preserve"> </w:t>
      </w:r>
      <w:r>
        <w:t xml:space="preserve">casos el</w:t>
      </w:r>
      <w:r>
        <w:t xml:space="preserve"> </w:t>
      </w:r>
      <w:r>
        <w:t xml:space="preserve">14 de junio del 2021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reporte</dc:title>
  <dc:creator>Pablo Aguirre</dc:creator>
  <cp:keywords/>
  <dcterms:created xsi:type="dcterms:W3CDTF">2021-06-30T01:29:24Z</dcterms:created>
  <dcterms:modified xsi:type="dcterms:W3CDTF">2021-06-30T01:29:24Z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