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96B2" w14:textId="79FB63CA" w:rsidR="00072AE4" w:rsidRDefault="001F7AD7" w:rsidP="00072AE4">
      <w:pPr>
        <w:autoSpaceDE w:val="0"/>
        <w:autoSpaceDN w:val="0"/>
        <w:adjustRightInd w:val="0"/>
        <w:spacing w:after="140" w:line="320" w:lineRule="atLeast"/>
        <w:rPr>
          <w:rFonts w:ascii="Arial" w:hAnsi="Arial" w:cs="Arial"/>
          <w:color w:val="262626"/>
          <w:sz w:val="28"/>
          <w:szCs w:val="28"/>
          <w:lang w:val="en-US"/>
        </w:rPr>
      </w:pPr>
      <w:r>
        <w:rPr>
          <w:rFonts w:ascii="Arial" w:hAnsi="Arial" w:cs="Arial"/>
          <w:noProof/>
          <w:color w:val="262626"/>
          <w:sz w:val="28"/>
          <w:szCs w:val="28"/>
          <w:lang w:val="en-US"/>
        </w:rPr>
        <w:drawing>
          <wp:inline distT="0" distB="0" distL="0" distR="0" wp14:anchorId="42A1C809" wp14:editId="79785CA8">
            <wp:extent cx="5943600" cy="2500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30 at 4.53.2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r>
        <w:rPr>
          <w:rFonts w:ascii="Arial" w:hAnsi="Arial" w:cs="Arial"/>
          <w:noProof/>
          <w:color w:val="262626"/>
          <w:sz w:val="28"/>
          <w:szCs w:val="28"/>
          <w:lang w:val="en-US"/>
        </w:rPr>
        <w:drawing>
          <wp:inline distT="0" distB="0" distL="0" distR="0" wp14:anchorId="30CDCB8C" wp14:editId="3206A412">
            <wp:extent cx="254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30 at 2.20.49 PM.png"/>
                    <pic:cNvPicPr/>
                  </pic:nvPicPr>
                  <pic:blipFill>
                    <a:blip r:embed="rId9">
                      <a:extLst>
                        <a:ext uri="{28A0092B-C50C-407E-A947-70E740481C1C}">
                          <a14:useLocalDpi xmlns:a14="http://schemas.microsoft.com/office/drawing/2010/main" val="0"/>
                        </a:ext>
                      </a:extLst>
                    </a:blip>
                    <a:stretch>
                      <a:fillRect/>
                    </a:stretch>
                  </pic:blipFill>
                  <pic:spPr>
                    <a:xfrm>
                      <a:off x="0" y="0"/>
                      <a:ext cx="25400" cy="12700"/>
                    </a:xfrm>
                    <a:prstGeom prst="rect">
                      <a:avLst/>
                    </a:prstGeom>
                  </pic:spPr>
                </pic:pic>
              </a:graphicData>
            </a:graphic>
          </wp:inline>
        </w:drawing>
      </w:r>
      <w:r>
        <w:rPr>
          <w:rFonts w:ascii="Arial" w:hAnsi="Arial" w:cs="Arial"/>
          <w:noProof/>
          <w:color w:val="262626"/>
          <w:sz w:val="28"/>
          <w:szCs w:val="28"/>
          <w:lang w:val="en-US"/>
        </w:rPr>
        <w:drawing>
          <wp:inline distT="0" distB="0" distL="0" distR="0" wp14:anchorId="0C118C98" wp14:editId="7D43F500">
            <wp:extent cx="5943600" cy="2444750"/>
            <wp:effectExtent l="0" t="0" r="0" b="635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30 at 2.13.1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r>
        <w:rPr>
          <w:rFonts w:ascii="Arial" w:hAnsi="Arial" w:cs="Arial"/>
          <w:noProof/>
          <w:color w:val="262626"/>
          <w:sz w:val="28"/>
          <w:szCs w:val="28"/>
          <w:lang w:val="en-US"/>
        </w:rPr>
        <w:drawing>
          <wp:inline distT="0" distB="0" distL="0" distR="0" wp14:anchorId="3692B6B8" wp14:editId="689BD937">
            <wp:extent cx="254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30 at 2.20.49 PM.png"/>
                    <pic:cNvPicPr/>
                  </pic:nvPicPr>
                  <pic:blipFill>
                    <a:blip r:embed="rId9">
                      <a:extLst>
                        <a:ext uri="{28A0092B-C50C-407E-A947-70E740481C1C}">
                          <a14:useLocalDpi xmlns:a14="http://schemas.microsoft.com/office/drawing/2010/main" val="0"/>
                        </a:ext>
                      </a:extLst>
                    </a:blip>
                    <a:stretch>
                      <a:fillRect/>
                    </a:stretch>
                  </pic:blipFill>
                  <pic:spPr>
                    <a:xfrm>
                      <a:off x="0" y="0"/>
                      <a:ext cx="25400" cy="12700"/>
                    </a:xfrm>
                    <a:prstGeom prst="rect">
                      <a:avLst/>
                    </a:prstGeom>
                  </pic:spPr>
                </pic:pic>
              </a:graphicData>
            </a:graphic>
          </wp:inline>
        </w:drawing>
      </w:r>
      <w:r>
        <w:rPr>
          <w:rFonts w:ascii="Arial" w:hAnsi="Arial" w:cs="Arial"/>
          <w:noProof/>
          <w:color w:val="262626"/>
          <w:sz w:val="28"/>
          <w:szCs w:val="28"/>
          <w:lang w:val="en-US"/>
        </w:rPr>
        <w:drawing>
          <wp:inline distT="0" distB="0" distL="0" distR="0" wp14:anchorId="3D488773" wp14:editId="62181AC7">
            <wp:extent cx="5943600" cy="2421890"/>
            <wp:effectExtent l="0" t="0" r="0"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30 at 2.19.3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r>
        <w:rPr>
          <w:rFonts w:ascii="Arial" w:hAnsi="Arial" w:cs="Arial"/>
          <w:noProof/>
          <w:color w:val="262626"/>
          <w:sz w:val="28"/>
          <w:szCs w:val="28"/>
          <w:lang w:val="en-US"/>
        </w:rPr>
        <w:lastRenderedPageBreak/>
        <w:drawing>
          <wp:inline distT="0" distB="0" distL="0" distR="0" wp14:anchorId="74B480ED" wp14:editId="180140EF">
            <wp:extent cx="5943600" cy="4997450"/>
            <wp:effectExtent l="0" t="0" r="0" b="6350"/>
            <wp:docPr id="1" name="Picture 1"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30 at 4.52.3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97450"/>
                    </a:xfrm>
                    <a:prstGeom prst="rect">
                      <a:avLst/>
                    </a:prstGeom>
                  </pic:spPr>
                </pic:pic>
              </a:graphicData>
            </a:graphic>
          </wp:inline>
        </w:drawing>
      </w:r>
      <w:r w:rsidR="00072AE4">
        <w:rPr>
          <w:rFonts w:ascii="Arial" w:hAnsi="Arial" w:cs="Arial"/>
          <w:color w:val="262626"/>
          <w:sz w:val="28"/>
          <w:szCs w:val="28"/>
          <w:lang w:val="en-US"/>
        </w:rPr>
        <w:t>This article is about </w:t>
      </w:r>
      <w:hyperlink r:id="rId13" w:history="1">
        <w:r w:rsidR="00072AE4">
          <w:rPr>
            <w:rFonts w:ascii="Arial" w:hAnsi="Arial" w:cs="Arial"/>
            <w:color w:val="205AE0"/>
            <w:sz w:val="28"/>
            <w:szCs w:val="28"/>
            <w:lang w:val="en-US"/>
          </w:rPr>
          <w:t>carbon dioxide (CO</w:t>
        </w:r>
        <w:r w:rsidR="00072AE4">
          <w:rPr>
            <w:rFonts w:ascii="Arial" w:hAnsi="Arial" w:cs="Arial"/>
            <w:color w:val="205AE0"/>
            <w:sz w:val="21"/>
            <w:szCs w:val="21"/>
            <w:lang w:val="en-US"/>
          </w:rPr>
          <w:t>2</w:t>
        </w:r>
        <w:r w:rsidR="00072AE4">
          <w:rPr>
            <w:rFonts w:ascii="Arial" w:hAnsi="Arial" w:cs="Arial"/>
            <w:color w:val="205AE0"/>
            <w:sz w:val="28"/>
            <w:szCs w:val="28"/>
            <w:lang w:val="en-US"/>
          </w:rPr>
          <w:t>)</w:t>
        </w:r>
      </w:hyperlink>
      <w:r w:rsidR="00072AE4">
        <w:rPr>
          <w:rFonts w:ascii="Arial" w:hAnsi="Arial" w:cs="Arial"/>
          <w:color w:val="262626"/>
          <w:sz w:val="28"/>
          <w:szCs w:val="28"/>
          <w:lang w:val="en-US"/>
        </w:rPr>
        <w:t> emissions classified by final use of products in the </w:t>
      </w:r>
      <w:hyperlink r:id="rId14" w:history="1">
        <w:r w:rsidR="00072AE4">
          <w:rPr>
            <w:rFonts w:ascii="Arial" w:hAnsi="Arial" w:cs="Arial"/>
            <w:color w:val="205AE0"/>
            <w:sz w:val="28"/>
            <w:szCs w:val="28"/>
            <w:lang w:val="en-US"/>
          </w:rPr>
          <w:t>EU-27</w:t>
        </w:r>
      </w:hyperlink>
      <w:r w:rsidR="00072AE4">
        <w:rPr>
          <w:rFonts w:ascii="Arial" w:hAnsi="Arial" w:cs="Arial"/>
          <w:color w:val="262626"/>
          <w:sz w:val="28"/>
          <w:szCs w:val="28"/>
          <w:lang w:val="en-US"/>
        </w:rPr>
        <w:t>, also known as 'carbon footprints'. Eurostat uses a modelling approach to compile these </w:t>
      </w:r>
      <w:hyperlink r:id="rId15" w:history="1">
        <w:r w:rsidR="00072AE4">
          <w:rPr>
            <w:rFonts w:ascii="Arial" w:hAnsi="Arial" w:cs="Arial"/>
            <w:color w:val="205AE0"/>
            <w:sz w:val="28"/>
            <w:szCs w:val="28"/>
            <w:lang w:val="en-US"/>
          </w:rPr>
          <w:t>estimates</w:t>
        </w:r>
      </w:hyperlink>
      <w:r w:rsidR="00072AE4">
        <w:rPr>
          <w:rFonts w:ascii="Arial" w:hAnsi="Arial" w:cs="Arial"/>
          <w:color w:val="262626"/>
          <w:sz w:val="28"/>
          <w:szCs w:val="28"/>
          <w:lang w:val="en-US"/>
        </w:rPr>
        <w:t>, based on economic information and </w:t>
      </w:r>
      <w:hyperlink r:id="rId16" w:history="1">
        <w:r w:rsidR="00072AE4">
          <w:rPr>
            <w:rFonts w:ascii="Arial" w:hAnsi="Arial" w:cs="Arial"/>
            <w:color w:val="205AE0"/>
            <w:sz w:val="28"/>
            <w:szCs w:val="28"/>
            <w:lang w:val="en-US"/>
          </w:rPr>
          <w:t>air emissions accounts (AEA)</w:t>
        </w:r>
      </w:hyperlink>
      <w:r w:rsidR="00072AE4">
        <w:rPr>
          <w:rFonts w:ascii="Arial" w:hAnsi="Arial" w:cs="Arial"/>
          <w:color w:val="262626"/>
          <w:sz w:val="28"/>
          <w:szCs w:val="28"/>
          <w:lang w:val="en-US"/>
        </w:rPr>
        <w:t>. Carbon footprints are one particular analytical application of AEA.</w:t>
      </w:r>
    </w:p>
    <w:p w14:paraId="6DBD2362" w14:textId="34B232F5" w:rsidR="00072AE4" w:rsidRDefault="00D028F0" w:rsidP="00072AE4">
      <w:pPr>
        <w:autoSpaceDE w:val="0"/>
        <w:autoSpaceDN w:val="0"/>
        <w:adjustRightInd w:val="0"/>
        <w:spacing w:after="140" w:line="320" w:lineRule="atLeast"/>
        <w:rPr>
          <w:rFonts w:ascii="Arial" w:hAnsi="Arial" w:cs="Arial"/>
          <w:color w:val="262626"/>
          <w:sz w:val="28"/>
          <w:szCs w:val="28"/>
          <w:lang w:val="en-US"/>
        </w:rPr>
      </w:pPr>
      <w:hyperlink r:id="rId17" w:history="1">
        <w:r w:rsidR="00072AE4">
          <w:rPr>
            <w:rFonts w:ascii="Arial" w:hAnsi="Arial" w:cs="Arial"/>
            <w:color w:val="205AE0"/>
            <w:sz w:val="28"/>
            <w:szCs w:val="28"/>
            <w:lang w:val="en-US"/>
          </w:rPr>
          <w:t>Eurostat</w:t>
        </w:r>
      </w:hyperlink>
      <w:r w:rsidR="00072AE4">
        <w:rPr>
          <w:rFonts w:ascii="Arial" w:hAnsi="Arial" w:cs="Arial"/>
          <w:color w:val="262626"/>
          <w:sz w:val="28"/>
          <w:szCs w:val="28"/>
          <w:lang w:val="en-US"/>
        </w:rPr>
        <w:t xml:space="preserve"> estimates the EU-27’s carbon footprint at 7.0 </w:t>
      </w:r>
      <w:proofErr w:type="spellStart"/>
      <w:r w:rsidR="00072AE4">
        <w:rPr>
          <w:rFonts w:ascii="Arial" w:hAnsi="Arial" w:cs="Arial"/>
          <w:color w:val="262626"/>
          <w:sz w:val="28"/>
          <w:szCs w:val="28"/>
          <w:lang w:val="en-US"/>
        </w:rPr>
        <w:t>tonnes</w:t>
      </w:r>
      <w:proofErr w:type="spellEnd"/>
      <w:r w:rsidR="00072AE4">
        <w:rPr>
          <w:rFonts w:ascii="Arial" w:hAnsi="Arial" w:cs="Arial"/>
          <w:color w:val="262626"/>
          <w:sz w:val="28"/>
          <w:szCs w:val="28"/>
          <w:lang w:val="en-US"/>
        </w:rPr>
        <w:t> </w:t>
      </w:r>
      <w:hyperlink r:id="rId18" w:history="1">
        <w:r w:rsidR="00072AE4">
          <w:rPr>
            <w:rFonts w:ascii="Arial" w:hAnsi="Arial" w:cs="Arial"/>
            <w:color w:val="205AE0"/>
            <w:sz w:val="28"/>
            <w:szCs w:val="28"/>
            <w:lang w:val="en-US"/>
          </w:rPr>
          <w:t>per person</w:t>
        </w:r>
      </w:hyperlink>
      <w:r w:rsidR="00072AE4">
        <w:rPr>
          <w:rFonts w:ascii="Arial" w:hAnsi="Arial" w:cs="Arial"/>
          <w:color w:val="262626"/>
          <w:sz w:val="28"/>
          <w:szCs w:val="28"/>
          <w:lang w:val="en-US"/>
        </w:rPr>
        <w:t xml:space="preserve"> in 2018. The EU-27 emits 0.4 </w:t>
      </w:r>
      <w:proofErr w:type="spellStart"/>
      <w:r w:rsidR="00072AE4">
        <w:rPr>
          <w:rFonts w:ascii="Arial" w:hAnsi="Arial" w:cs="Arial"/>
          <w:color w:val="262626"/>
          <w:sz w:val="28"/>
          <w:szCs w:val="28"/>
          <w:lang w:val="en-US"/>
        </w:rPr>
        <w:t>tonnes</w:t>
      </w:r>
      <w:proofErr w:type="spellEnd"/>
      <w:r w:rsidR="00072AE4">
        <w:rPr>
          <w:rFonts w:ascii="Arial" w:hAnsi="Arial" w:cs="Arial"/>
          <w:color w:val="262626"/>
          <w:sz w:val="28"/>
          <w:szCs w:val="28"/>
          <w:lang w:val="en-US"/>
        </w:rPr>
        <w:t xml:space="preserve"> CO</w:t>
      </w:r>
      <w:r w:rsidR="00072AE4">
        <w:rPr>
          <w:rFonts w:ascii="Arial" w:hAnsi="Arial" w:cs="Arial"/>
          <w:color w:val="262626"/>
          <w:sz w:val="21"/>
          <w:szCs w:val="21"/>
          <w:lang w:val="en-US"/>
        </w:rPr>
        <w:t>2</w:t>
      </w:r>
      <w:r w:rsidR="00072AE4">
        <w:rPr>
          <w:rFonts w:ascii="Arial" w:hAnsi="Arial" w:cs="Arial"/>
          <w:color w:val="262626"/>
          <w:sz w:val="28"/>
          <w:szCs w:val="28"/>
          <w:lang w:val="en-US"/>
        </w:rPr>
        <w:t> per person more to produce exports than it avoids by importing goods and services. Services that account for 25 % of the total carbon footprint only account for 7 % of the direct CO</w:t>
      </w:r>
      <w:r w:rsidR="00072AE4">
        <w:rPr>
          <w:rFonts w:ascii="Arial" w:hAnsi="Arial" w:cs="Arial"/>
          <w:color w:val="262626"/>
          <w:sz w:val="21"/>
          <w:szCs w:val="21"/>
          <w:lang w:val="en-US"/>
        </w:rPr>
        <w:t>2</w:t>
      </w:r>
      <w:r w:rsidR="00072AE4">
        <w:rPr>
          <w:rFonts w:ascii="Arial" w:hAnsi="Arial" w:cs="Arial"/>
          <w:color w:val="262626"/>
          <w:sz w:val="28"/>
          <w:szCs w:val="28"/>
          <w:lang w:val="en-US"/>
        </w:rPr>
        <w:t xml:space="preserve"> emissions (transport, construction and real estate services are </w:t>
      </w:r>
      <w:r w:rsidR="00072AE4">
        <w:rPr>
          <w:rFonts w:ascii="Arial" w:hAnsi="Arial" w:cs="Arial"/>
          <w:color w:val="262626"/>
          <w:sz w:val="28"/>
          <w:szCs w:val="28"/>
          <w:lang w:val="en-US"/>
        </w:rPr>
        <w:lastRenderedPageBreak/>
        <w:t>accounted for separately). The majority of the emissions originate from EU production activities.</w:t>
      </w:r>
      <w:r w:rsidR="00072AE4">
        <w:rPr>
          <w:rStyle w:val="FootnoteReference"/>
          <w:rFonts w:ascii="Arial" w:hAnsi="Arial" w:cs="Arial"/>
          <w:color w:val="262626"/>
          <w:sz w:val="28"/>
          <w:szCs w:val="28"/>
          <w:lang w:val="en-US"/>
        </w:rPr>
        <w:footnoteReference w:id="1"/>
      </w:r>
    </w:p>
    <w:p w14:paraId="3359A45E" w14:textId="110368F1" w:rsidR="007C14ED" w:rsidRDefault="007C14ED" w:rsidP="00072AE4">
      <w:pPr>
        <w:autoSpaceDE w:val="0"/>
        <w:autoSpaceDN w:val="0"/>
        <w:adjustRightInd w:val="0"/>
        <w:spacing w:after="140" w:line="320" w:lineRule="atLeast"/>
        <w:rPr>
          <w:rFonts w:ascii="Arial" w:hAnsi="Arial" w:cs="Arial"/>
          <w:color w:val="262626"/>
          <w:sz w:val="28"/>
          <w:szCs w:val="28"/>
          <w:lang w:val="en-US"/>
        </w:rPr>
      </w:pPr>
    </w:p>
    <w:tbl>
      <w:tblPr>
        <w:tblW w:w="0" w:type="auto"/>
        <w:tblLayout w:type="fixed"/>
        <w:tblLook w:val="0000" w:firstRow="0" w:lastRow="0" w:firstColumn="0" w:lastColumn="0" w:noHBand="0" w:noVBand="0"/>
      </w:tblPr>
      <w:tblGrid>
        <w:gridCol w:w="2222"/>
        <w:gridCol w:w="1686"/>
        <w:gridCol w:w="1686"/>
        <w:gridCol w:w="1686"/>
        <w:gridCol w:w="1689"/>
      </w:tblGrid>
      <w:tr w:rsidR="007C14ED" w14:paraId="7F5A3AEA" w14:textId="77777777" w:rsidTr="007C14ED">
        <w:tblPrEx>
          <w:tblCellMar>
            <w:top w:w="0" w:type="dxa"/>
            <w:bottom w:w="0" w:type="dxa"/>
          </w:tblCellMar>
        </w:tblPrEx>
        <w:trPr>
          <w:trHeight w:val="337"/>
        </w:trPr>
        <w:tc>
          <w:tcPr>
            <w:tcW w:w="2222" w:type="dxa"/>
            <w:tcBorders>
              <w:top w:val="single" w:sz="4" w:space="0" w:color="auto"/>
              <w:left w:val="nil"/>
              <w:bottom w:val="single" w:sz="10" w:space="0" w:color="auto"/>
              <w:right w:val="nil"/>
            </w:tcBorders>
          </w:tcPr>
          <w:p w14:paraId="3380A4FD" w14:textId="77777777" w:rsidR="007C14ED" w:rsidRDefault="007C14ED" w:rsidP="000A2BAF">
            <w:pPr>
              <w:widowControl w:val="0"/>
              <w:autoSpaceDE w:val="0"/>
              <w:autoSpaceDN w:val="0"/>
              <w:adjustRightInd w:val="0"/>
              <w:rPr>
                <w:rFonts w:ascii="Garamond" w:hAnsi="Garamond"/>
                <w:sz w:val="20"/>
                <w:szCs w:val="20"/>
                <w:lang w:val="en-US"/>
              </w:rPr>
            </w:pPr>
            <w:r>
              <w:rPr>
                <w:rFonts w:ascii="Garamond" w:hAnsi="Garamond"/>
                <w:sz w:val="20"/>
                <w:szCs w:val="20"/>
                <w:lang w:val="en-US"/>
              </w:rPr>
              <w:t xml:space="preserve">Variable </w:t>
            </w:r>
          </w:p>
        </w:tc>
        <w:tc>
          <w:tcPr>
            <w:tcW w:w="1686" w:type="dxa"/>
            <w:tcBorders>
              <w:top w:val="single" w:sz="4" w:space="0" w:color="auto"/>
              <w:left w:val="nil"/>
              <w:bottom w:val="single" w:sz="10" w:space="0" w:color="auto"/>
              <w:right w:val="nil"/>
            </w:tcBorders>
          </w:tcPr>
          <w:p w14:paraId="69465E57" w14:textId="2DB9DAED" w:rsidR="007C14ED" w:rsidRDefault="007C14ED" w:rsidP="000A2BAF">
            <w:pPr>
              <w:widowControl w:val="0"/>
              <w:autoSpaceDE w:val="0"/>
              <w:autoSpaceDN w:val="0"/>
              <w:adjustRightInd w:val="0"/>
              <w:rPr>
                <w:rFonts w:ascii="Garamond" w:hAnsi="Garamond"/>
                <w:sz w:val="20"/>
                <w:szCs w:val="20"/>
                <w:lang w:val="en-US"/>
              </w:rPr>
            </w:pPr>
            <w:r>
              <w:rPr>
                <w:rFonts w:ascii="Garamond" w:hAnsi="Garamond"/>
                <w:sz w:val="20"/>
                <w:szCs w:val="20"/>
                <w:lang w:val="en-US"/>
              </w:rPr>
              <w:t xml:space="preserve"> </w:t>
            </w:r>
            <w:r>
              <w:rPr>
                <w:rFonts w:ascii="Garamond" w:hAnsi="Garamond"/>
                <w:sz w:val="20"/>
                <w:szCs w:val="20"/>
                <w:lang w:val="en-US"/>
              </w:rPr>
              <w:t>HIC</w:t>
            </w:r>
          </w:p>
        </w:tc>
        <w:tc>
          <w:tcPr>
            <w:tcW w:w="1686" w:type="dxa"/>
            <w:tcBorders>
              <w:top w:val="single" w:sz="4" w:space="0" w:color="auto"/>
              <w:left w:val="nil"/>
              <w:bottom w:val="single" w:sz="10" w:space="0" w:color="auto"/>
              <w:right w:val="nil"/>
            </w:tcBorders>
          </w:tcPr>
          <w:p w14:paraId="4B9E270A" w14:textId="463984E0" w:rsidR="007C14ED" w:rsidRDefault="007C14ED" w:rsidP="000A2BAF">
            <w:pPr>
              <w:widowControl w:val="0"/>
              <w:autoSpaceDE w:val="0"/>
              <w:autoSpaceDN w:val="0"/>
              <w:adjustRightInd w:val="0"/>
              <w:rPr>
                <w:rFonts w:ascii="Garamond" w:hAnsi="Garamond"/>
                <w:sz w:val="20"/>
                <w:szCs w:val="20"/>
                <w:lang w:val="en-US"/>
              </w:rPr>
            </w:pPr>
            <w:r>
              <w:rPr>
                <w:rFonts w:ascii="Garamond" w:hAnsi="Garamond"/>
                <w:sz w:val="20"/>
                <w:szCs w:val="20"/>
                <w:lang w:val="en-US"/>
              </w:rPr>
              <w:t xml:space="preserve"> </w:t>
            </w:r>
            <w:r>
              <w:rPr>
                <w:rFonts w:ascii="Garamond" w:hAnsi="Garamond"/>
                <w:sz w:val="20"/>
                <w:szCs w:val="20"/>
                <w:lang w:val="en-US"/>
              </w:rPr>
              <w:t>UMC</w:t>
            </w:r>
          </w:p>
        </w:tc>
        <w:tc>
          <w:tcPr>
            <w:tcW w:w="1686" w:type="dxa"/>
            <w:tcBorders>
              <w:top w:val="single" w:sz="4" w:space="0" w:color="auto"/>
              <w:left w:val="nil"/>
              <w:bottom w:val="single" w:sz="10" w:space="0" w:color="auto"/>
              <w:right w:val="nil"/>
            </w:tcBorders>
          </w:tcPr>
          <w:p w14:paraId="0D4C9901" w14:textId="6A624612" w:rsidR="007C14ED" w:rsidRDefault="007C14ED" w:rsidP="000A2BAF">
            <w:pPr>
              <w:widowControl w:val="0"/>
              <w:autoSpaceDE w:val="0"/>
              <w:autoSpaceDN w:val="0"/>
              <w:adjustRightInd w:val="0"/>
              <w:rPr>
                <w:rFonts w:ascii="Garamond" w:hAnsi="Garamond"/>
                <w:sz w:val="20"/>
                <w:szCs w:val="20"/>
                <w:lang w:val="en-US"/>
              </w:rPr>
            </w:pPr>
            <w:r>
              <w:rPr>
                <w:rFonts w:ascii="Garamond" w:hAnsi="Garamond"/>
                <w:sz w:val="20"/>
                <w:szCs w:val="20"/>
                <w:lang w:val="en-US"/>
              </w:rPr>
              <w:t xml:space="preserve"> </w:t>
            </w:r>
            <w:r>
              <w:rPr>
                <w:rFonts w:ascii="Garamond" w:hAnsi="Garamond"/>
                <w:sz w:val="20"/>
                <w:szCs w:val="20"/>
                <w:lang w:val="en-US"/>
              </w:rPr>
              <w:t>LMC</w:t>
            </w:r>
          </w:p>
        </w:tc>
        <w:tc>
          <w:tcPr>
            <w:tcW w:w="1686" w:type="dxa"/>
            <w:tcBorders>
              <w:top w:val="single" w:sz="4" w:space="0" w:color="auto"/>
              <w:left w:val="nil"/>
              <w:bottom w:val="single" w:sz="10" w:space="0" w:color="auto"/>
              <w:right w:val="nil"/>
            </w:tcBorders>
          </w:tcPr>
          <w:p w14:paraId="4E968431" w14:textId="39108A77" w:rsidR="007C14ED" w:rsidRDefault="007C14ED" w:rsidP="000A2BAF">
            <w:pPr>
              <w:widowControl w:val="0"/>
              <w:autoSpaceDE w:val="0"/>
              <w:autoSpaceDN w:val="0"/>
              <w:adjustRightInd w:val="0"/>
              <w:rPr>
                <w:rFonts w:ascii="Garamond" w:hAnsi="Garamond"/>
                <w:sz w:val="20"/>
                <w:szCs w:val="20"/>
                <w:lang w:val="en-US"/>
              </w:rPr>
            </w:pPr>
            <w:r>
              <w:rPr>
                <w:rFonts w:ascii="Garamond" w:hAnsi="Garamond"/>
                <w:sz w:val="20"/>
                <w:szCs w:val="20"/>
                <w:lang w:val="en-US"/>
              </w:rPr>
              <w:t xml:space="preserve"> </w:t>
            </w:r>
            <w:r>
              <w:rPr>
                <w:rFonts w:ascii="Garamond" w:hAnsi="Garamond"/>
                <w:sz w:val="20"/>
                <w:szCs w:val="20"/>
                <w:lang w:val="en-US"/>
              </w:rPr>
              <w:t>LIC</w:t>
            </w:r>
          </w:p>
        </w:tc>
      </w:tr>
      <w:tr w:rsidR="007C14ED" w14:paraId="326A0C0D" w14:textId="77777777" w:rsidTr="007C14ED">
        <w:tblPrEx>
          <w:tblCellMar>
            <w:top w:w="0" w:type="dxa"/>
            <w:bottom w:w="0" w:type="dxa"/>
          </w:tblCellMar>
        </w:tblPrEx>
        <w:trPr>
          <w:trHeight w:val="368"/>
        </w:trPr>
        <w:tc>
          <w:tcPr>
            <w:tcW w:w="2222" w:type="dxa"/>
            <w:tcBorders>
              <w:top w:val="nil"/>
              <w:left w:val="nil"/>
              <w:bottom w:val="nil"/>
              <w:right w:val="nil"/>
            </w:tcBorders>
          </w:tcPr>
          <w:p w14:paraId="43933186"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y </w:t>
            </w:r>
          </w:p>
        </w:tc>
        <w:tc>
          <w:tcPr>
            <w:tcW w:w="1686" w:type="dxa"/>
            <w:tcBorders>
              <w:top w:val="nil"/>
              <w:left w:val="nil"/>
              <w:bottom w:val="nil"/>
              <w:right w:val="nil"/>
            </w:tcBorders>
          </w:tcPr>
          <w:p w14:paraId="00DFA7BE"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-211.455</w:t>
            </w:r>
          </w:p>
        </w:tc>
        <w:tc>
          <w:tcPr>
            <w:tcW w:w="1686" w:type="dxa"/>
            <w:tcBorders>
              <w:top w:val="nil"/>
              <w:left w:val="nil"/>
              <w:bottom w:val="nil"/>
              <w:right w:val="nil"/>
            </w:tcBorders>
          </w:tcPr>
          <w:p w14:paraId="1F32D122"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-356.934</w:t>
            </w:r>
          </w:p>
        </w:tc>
        <w:tc>
          <w:tcPr>
            <w:tcW w:w="1686" w:type="dxa"/>
            <w:tcBorders>
              <w:top w:val="nil"/>
              <w:left w:val="nil"/>
              <w:bottom w:val="nil"/>
              <w:right w:val="nil"/>
            </w:tcBorders>
          </w:tcPr>
          <w:p w14:paraId="7B8DC62A"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-2254.323</w:t>
            </w:r>
          </w:p>
        </w:tc>
        <w:tc>
          <w:tcPr>
            <w:tcW w:w="1686" w:type="dxa"/>
            <w:tcBorders>
              <w:top w:val="nil"/>
              <w:left w:val="nil"/>
              <w:bottom w:val="nil"/>
              <w:right w:val="nil"/>
            </w:tcBorders>
          </w:tcPr>
          <w:p w14:paraId="08F8232C"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-1720.444</w:t>
            </w:r>
          </w:p>
        </w:tc>
      </w:tr>
      <w:tr w:rsidR="007C14ED" w14:paraId="13DB398B" w14:textId="77777777" w:rsidTr="007C14ED">
        <w:tblPrEx>
          <w:tblCellMar>
            <w:top w:w="0" w:type="dxa"/>
            <w:bottom w:w="0" w:type="dxa"/>
          </w:tblCellMar>
        </w:tblPrEx>
        <w:trPr>
          <w:trHeight w:val="353"/>
        </w:trPr>
        <w:tc>
          <w:tcPr>
            <w:tcW w:w="2222" w:type="dxa"/>
            <w:tcBorders>
              <w:top w:val="nil"/>
              <w:left w:val="nil"/>
              <w:bottom w:val="nil"/>
              <w:right w:val="nil"/>
            </w:tcBorders>
          </w:tcPr>
          <w:p w14:paraId="295D29FD"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y2 </w:t>
            </w:r>
          </w:p>
        </w:tc>
        <w:tc>
          <w:tcPr>
            <w:tcW w:w="1686" w:type="dxa"/>
            <w:tcBorders>
              <w:top w:val="nil"/>
              <w:left w:val="nil"/>
              <w:bottom w:val="nil"/>
              <w:right w:val="nil"/>
            </w:tcBorders>
          </w:tcPr>
          <w:p w14:paraId="76208B86"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56.578</w:t>
            </w:r>
          </w:p>
        </w:tc>
        <w:tc>
          <w:tcPr>
            <w:tcW w:w="1686" w:type="dxa"/>
            <w:tcBorders>
              <w:top w:val="nil"/>
              <w:left w:val="nil"/>
              <w:bottom w:val="nil"/>
              <w:right w:val="nil"/>
            </w:tcBorders>
          </w:tcPr>
          <w:p w14:paraId="599591DC"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50.130</w:t>
            </w:r>
          </w:p>
        </w:tc>
        <w:tc>
          <w:tcPr>
            <w:tcW w:w="1686" w:type="dxa"/>
            <w:tcBorders>
              <w:top w:val="nil"/>
              <w:left w:val="nil"/>
              <w:bottom w:val="nil"/>
              <w:right w:val="nil"/>
            </w:tcBorders>
          </w:tcPr>
          <w:p w14:paraId="5A097A44"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343.604</w:t>
            </w:r>
          </w:p>
        </w:tc>
        <w:tc>
          <w:tcPr>
            <w:tcW w:w="1686" w:type="dxa"/>
            <w:tcBorders>
              <w:top w:val="nil"/>
              <w:left w:val="nil"/>
              <w:bottom w:val="nil"/>
              <w:right w:val="nil"/>
            </w:tcBorders>
          </w:tcPr>
          <w:p w14:paraId="38A45846"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323.595</w:t>
            </w:r>
          </w:p>
        </w:tc>
      </w:tr>
      <w:tr w:rsidR="007C14ED" w14:paraId="09FD2932" w14:textId="77777777" w:rsidTr="007C14ED">
        <w:tblPrEx>
          <w:tblCellMar>
            <w:top w:w="0" w:type="dxa"/>
            <w:bottom w:w="0" w:type="dxa"/>
          </w:tblCellMar>
        </w:tblPrEx>
        <w:trPr>
          <w:trHeight w:val="353"/>
        </w:trPr>
        <w:tc>
          <w:tcPr>
            <w:tcW w:w="2222" w:type="dxa"/>
            <w:tcBorders>
              <w:top w:val="nil"/>
              <w:left w:val="nil"/>
              <w:bottom w:val="nil"/>
              <w:right w:val="nil"/>
            </w:tcBorders>
          </w:tcPr>
          <w:p w14:paraId="5C3B413E"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y3 </w:t>
            </w:r>
          </w:p>
        </w:tc>
        <w:tc>
          <w:tcPr>
            <w:tcW w:w="1686" w:type="dxa"/>
            <w:tcBorders>
              <w:top w:val="nil"/>
              <w:left w:val="nil"/>
              <w:bottom w:val="nil"/>
              <w:right w:val="nil"/>
            </w:tcBorders>
          </w:tcPr>
          <w:p w14:paraId="6842C6C1"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-2.898</w:t>
            </w:r>
          </w:p>
        </w:tc>
        <w:tc>
          <w:tcPr>
            <w:tcW w:w="1686" w:type="dxa"/>
            <w:tcBorders>
              <w:top w:val="nil"/>
              <w:left w:val="nil"/>
              <w:bottom w:val="nil"/>
              <w:right w:val="nil"/>
            </w:tcBorders>
          </w:tcPr>
          <w:p w14:paraId="64CFD525"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-1.769</w:t>
            </w:r>
          </w:p>
        </w:tc>
        <w:tc>
          <w:tcPr>
            <w:tcW w:w="1686" w:type="dxa"/>
            <w:tcBorders>
              <w:top w:val="nil"/>
              <w:left w:val="nil"/>
              <w:bottom w:val="nil"/>
              <w:right w:val="nil"/>
            </w:tcBorders>
          </w:tcPr>
          <w:p w14:paraId="1430D006"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-16.562</w:t>
            </w:r>
          </w:p>
        </w:tc>
        <w:tc>
          <w:tcPr>
            <w:tcW w:w="1686" w:type="dxa"/>
            <w:tcBorders>
              <w:top w:val="nil"/>
              <w:left w:val="nil"/>
              <w:bottom w:val="nil"/>
              <w:right w:val="nil"/>
            </w:tcBorders>
          </w:tcPr>
          <w:p w14:paraId="2FA93904"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-18.881</w:t>
            </w:r>
          </w:p>
        </w:tc>
      </w:tr>
      <w:tr w:rsidR="007C14ED" w14:paraId="4E38E96C" w14:textId="77777777" w:rsidTr="007C14ED">
        <w:tblPrEx>
          <w:tblCellMar>
            <w:top w:w="0" w:type="dxa"/>
            <w:bottom w:w="0" w:type="dxa"/>
          </w:tblCellMar>
        </w:tblPrEx>
        <w:trPr>
          <w:trHeight w:val="337"/>
        </w:trPr>
        <w:tc>
          <w:tcPr>
            <w:tcW w:w="2222" w:type="dxa"/>
            <w:tcBorders>
              <w:top w:val="nil"/>
              <w:left w:val="nil"/>
              <w:bottom w:val="nil"/>
              <w:right w:val="nil"/>
            </w:tcBorders>
          </w:tcPr>
          <w:p w14:paraId="5022155E"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_cons </w:t>
            </w:r>
          </w:p>
        </w:tc>
        <w:tc>
          <w:tcPr>
            <w:tcW w:w="1686" w:type="dxa"/>
            <w:tcBorders>
              <w:top w:val="nil"/>
              <w:left w:val="nil"/>
              <w:bottom w:val="nil"/>
              <w:right w:val="nil"/>
            </w:tcBorders>
          </w:tcPr>
          <w:p w14:paraId="469A8573"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261.406</w:t>
            </w:r>
          </w:p>
        </w:tc>
        <w:tc>
          <w:tcPr>
            <w:tcW w:w="1686" w:type="dxa"/>
            <w:tcBorders>
              <w:top w:val="nil"/>
              <w:left w:val="nil"/>
              <w:bottom w:val="nil"/>
              <w:right w:val="nil"/>
            </w:tcBorders>
          </w:tcPr>
          <w:p w14:paraId="30FE5F80"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1280.371</w:t>
            </w:r>
          </w:p>
        </w:tc>
        <w:tc>
          <w:tcPr>
            <w:tcW w:w="1686" w:type="dxa"/>
            <w:tcBorders>
              <w:top w:val="nil"/>
              <w:left w:val="nil"/>
              <w:bottom w:val="nil"/>
              <w:right w:val="nil"/>
            </w:tcBorders>
          </w:tcPr>
          <w:p w14:paraId="29A2795C"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5234.966</w:t>
            </w:r>
          </w:p>
        </w:tc>
        <w:tc>
          <w:tcPr>
            <w:tcW w:w="1686" w:type="dxa"/>
            <w:tcBorders>
              <w:top w:val="nil"/>
              <w:left w:val="nil"/>
              <w:bottom w:val="nil"/>
              <w:right w:val="nil"/>
            </w:tcBorders>
          </w:tcPr>
          <w:p w14:paraId="59167950" w14:textId="77777777" w:rsidR="007C14ED" w:rsidRPr="007C14ED" w:rsidRDefault="007C14ED" w:rsidP="000A2BAF">
            <w:pPr>
              <w:widowControl w:val="0"/>
              <w:autoSpaceDE w:val="0"/>
              <w:autoSpaceDN w:val="0"/>
              <w:adjustRightInd w:val="0"/>
              <w:rPr>
                <w:rFonts w:ascii="Garamond" w:hAnsi="Garamond"/>
                <w:sz w:val="24"/>
                <w:szCs w:val="24"/>
                <w:lang w:val="en-US"/>
              </w:rPr>
            </w:pPr>
            <w:r w:rsidRPr="007C14ED">
              <w:rPr>
                <w:rFonts w:ascii="Garamond" w:hAnsi="Garamond"/>
                <w:sz w:val="24"/>
                <w:szCs w:val="24"/>
                <w:lang w:val="en-US"/>
              </w:rPr>
              <w:t xml:space="preserve"> 3193.771</w:t>
            </w:r>
          </w:p>
        </w:tc>
      </w:tr>
      <w:tr w:rsidR="007C14ED" w14:paraId="0BAE292B" w14:textId="77777777" w:rsidTr="007C14ED">
        <w:tblPrEx>
          <w:tblCellMar>
            <w:top w:w="0" w:type="dxa"/>
            <w:bottom w:w="0" w:type="dxa"/>
          </w:tblCellMar>
        </w:tblPrEx>
        <w:trPr>
          <w:trHeight w:val="353"/>
        </w:trPr>
        <w:tc>
          <w:tcPr>
            <w:tcW w:w="8969" w:type="dxa"/>
            <w:gridSpan w:val="5"/>
            <w:tcBorders>
              <w:top w:val="nil"/>
              <w:left w:val="nil"/>
              <w:bottom w:val="single" w:sz="6" w:space="0" w:color="auto"/>
              <w:right w:val="nil"/>
            </w:tcBorders>
          </w:tcPr>
          <w:p w14:paraId="785FBBA2" w14:textId="77777777" w:rsidR="007C14ED" w:rsidRDefault="007C14ED" w:rsidP="000A2BAF">
            <w:pPr>
              <w:widowControl w:val="0"/>
              <w:autoSpaceDE w:val="0"/>
              <w:autoSpaceDN w:val="0"/>
              <w:adjustRightInd w:val="0"/>
              <w:rPr>
                <w:rFonts w:ascii="Garamond" w:hAnsi="Garamond"/>
                <w:sz w:val="20"/>
                <w:szCs w:val="20"/>
                <w:lang w:val="en-US"/>
              </w:rPr>
            </w:pPr>
          </w:p>
        </w:tc>
      </w:tr>
    </w:tbl>
    <w:p w14:paraId="4ADDA145" w14:textId="77777777" w:rsidR="007C14ED" w:rsidRDefault="007C14ED" w:rsidP="00072AE4">
      <w:pPr>
        <w:autoSpaceDE w:val="0"/>
        <w:autoSpaceDN w:val="0"/>
        <w:adjustRightInd w:val="0"/>
        <w:spacing w:after="140" w:line="320" w:lineRule="atLeast"/>
        <w:rPr>
          <w:rFonts w:ascii="Arial" w:hAnsi="Arial" w:cs="Arial"/>
          <w:color w:val="262626"/>
          <w:sz w:val="28"/>
          <w:szCs w:val="28"/>
          <w:lang w:val="en-US"/>
        </w:rPr>
      </w:pPr>
    </w:p>
    <w:p w14:paraId="0E494058" w14:textId="56CD4697" w:rsidR="0054243B" w:rsidRDefault="005C09B6" w:rsidP="00072AE4">
      <w:r>
        <w:rPr>
          <w:rFonts w:ascii="Arial" w:hAnsi="Arial" w:cs="Arial"/>
          <w:noProof/>
          <w:color w:val="262626"/>
          <w:sz w:val="28"/>
          <w:szCs w:val="28"/>
          <w:lang w:val="en-US"/>
        </w:rPr>
        <w:drawing>
          <wp:inline distT="0" distB="0" distL="0" distR="0" wp14:anchorId="1C19EDB8" wp14:editId="29C15DAC">
            <wp:extent cx="4933423" cy="21336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30 at 2.21.1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49534" cy="2140568"/>
                    </a:xfrm>
                    <a:prstGeom prst="rect">
                      <a:avLst/>
                    </a:prstGeom>
                  </pic:spPr>
                </pic:pic>
              </a:graphicData>
            </a:graphic>
          </wp:inline>
        </w:drawing>
      </w:r>
    </w:p>
    <w:p w14:paraId="266EE541" w14:textId="77777777" w:rsidR="00072AE4" w:rsidRDefault="00072AE4" w:rsidP="00072AE4">
      <w:r>
        <w:t>Due to the importance of greenhouse gas (GHG) emission data for fighting climate change, you will find more information below to explain why there are several datasets that report different values.</w:t>
      </w:r>
    </w:p>
    <w:p w14:paraId="075DAD08" w14:textId="77777777" w:rsidR="00072AE4" w:rsidRDefault="00072AE4" w:rsidP="00072AE4"/>
    <w:p w14:paraId="2FC3CB26" w14:textId="77777777" w:rsidR="00072AE4" w:rsidRDefault="00072AE4" w:rsidP="00072AE4">
      <w:r>
        <w:t>There are two internationally established approaches to report greenhouse gas emissions:</w:t>
      </w:r>
    </w:p>
    <w:p w14:paraId="05552FF9" w14:textId="77777777" w:rsidR="00072AE4" w:rsidRDefault="00072AE4" w:rsidP="00072AE4"/>
    <w:p w14:paraId="301E1BA8" w14:textId="77777777" w:rsidR="00072AE4" w:rsidRDefault="00072AE4" w:rsidP="00072AE4">
      <w:r>
        <w:lastRenderedPageBreak/>
        <w:t>National inventories for greenhouse gases and other pollutants; the official reporting framework for international policy commitments</w:t>
      </w:r>
    </w:p>
    <w:p w14:paraId="0E17B85A" w14:textId="77777777" w:rsidR="00072AE4" w:rsidRDefault="00072AE4" w:rsidP="00072AE4">
      <w:r>
        <w:t>Air emissions accounts; part of the system of environmental-economic accounting</w:t>
      </w:r>
    </w:p>
    <w:p w14:paraId="3F0810A3" w14:textId="77777777" w:rsidR="00072AE4" w:rsidRDefault="00072AE4" w:rsidP="00072AE4">
      <w:r>
        <w:t>The main differences between the two are:</w:t>
      </w:r>
    </w:p>
    <w:p w14:paraId="3373230B" w14:textId="77777777" w:rsidR="00072AE4" w:rsidRDefault="00072AE4" w:rsidP="00072AE4"/>
    <w:p w14:paraId="63143110" w14:textId="77777777" w:rsidR="00072AE4" w:rsidRDefault="00072AE4" w:rsidP="00072AE4">
      <w:r>
        <w:t>National inventories for greenhouse gases and</w:t>
      </w:r>
    </w:p>
    <w:p w14:paraId="18AB2B60" w14:textId="77777777" w:rsidR="00072AE4" w:rsidRDefault="00072AE4" w:rsidP="00072AE4">
      <w:r>
        <w:t>other air pollutants (territory principle)</w:t>
      </w:r>
      <w:r>
        <w:tab/>
        <w:t>Air emissions accounts (residence principle)</w:t>
      </w:r>
    </w:p>
    <w:p w14:paraId="79ABBF50" w14:textId="77777777" w:rsidR="00072AE4" w:rsidRDefault="00072AE4" w:rsidP="00072AE4">
      <w:r>
        <w:t>Emissions are assigned to the country where the emission takes place.</w:t>
      </w:r>
      <w:r>
        <w:tab/>
        <w:t>Emissions are assigned to the country where the economic operator causing the emission is resident.</w:t>
      </w:r>
    </w:p>
    <w:p w14:paraId="4CD75E2B" w14:textId="77777777" w:rsidR="00072AE4" w:rsidRDefault="00072AE4" w:rsidP="00072AE4">
      <w:r>
        <w:t>Emissions are assigned to processes classified according to their technical nature (e.g. combustion in power plants, solvent use).</w:t>
      </w:r>
      <w:r>
        <w:tab/>
        <w:t>Emissions are classified by economic activity, following the NACE classification of the system of national accounts.</w:t>
      </w:r>
    </w:p>
    <w:p w14:paraId="7D446611" w14:textId="77777777" w:rsidR="00072AE4" w:rsidRDefault="00072AE4" w:rsidP="00072AE4">
      <w:r>
        <w:t>Emissions from international navigation and aviation are assigned to the countries where the associated fuel is bunkered, irrespective of the operator's place of residence.</w:t>
      </w:r>
      <w:r>
        <w:tab/>
        <w:t>Emissions from international navigation and aviation are assigned to the countries where the operator of the ship/aircraft is resident, regardless of where the emission takes place.</w:t>
      </w:r>
    </w:p>
    <w:p w14:paraId="440CA132" w14:textId="77777777" w:rsidR="00072AE4" w:rsidRDefault="00072AE4" w:rsidP="00072AE4">
      <w:r>
        <w:t xml:space="preserve">Note: National and EU totals differ between the two approaches, as different boundaries apply. GHG inventories include international aviation and maritime transport (international bunker fuels) as memorandum items, which means that they are excluded from national totals reported. However, they are included in air emissions accounts totals. </w:t>
      </w:r>
      <w:proofErr w:type="gramStart"/>
      <w:r>
        <w:t>Therefore</w:t>
      </w:r>
      <w:proofErr w:type="gramEnd"/>
      <w:r>
        <w:t xml:space="preserve"> total emissions reported in GHG inventory databases can differ significantly from the total reported in air emissions accounts for countries with a large international aircraft and/or shipping fleet.</w:t>
      </w:r>
    </w:p>
    <w:p w14:paraId="3390E14B" w14:textId="77777777" w:rsidR="00072AE4" w:rsidRDefault="00072AE4" w:rsidP="00072AE4"/>
    <w:p w14:paraId="25C45159" w14:textId="77777777" w:rsidR="001F7AD7" w:rsidRPr="001F7AD7" w:rsidRDefault="00AE1B41" w:rsidP="001F7AD7">
      <w:pPr>
        <w:spacing w:line="360" w:lineRule="auto"/>
        <w:rPr>
          <w:rFonts w:ascii="PT Serif" w:hAnsi="PT Serif"/>
          <w:sz w:val="24"/>
          <w:szCs w:val="24"/>
        </w:rPr>
      </w:pPr>
      <w:r w:rsidRPr="001F7AD7">
        <w:rPr>
          <w:rFonts w:ascii="PT Serif" w:hAnsi="PT Serif"/>
          <w:sz w:val="24"/>
          <w:szCs w:val="24"/>
        </w:rPr>
        <w:t xml:space="preserve">The indicator measures total national emissions of the so called ‘Kyoto basket’ of greenhouse gases, including carbon dioxide (CO2), methane (CH4), nitrous oxide (N2O), and the so-called F-gases (hydrofluorocarbons, perfluorocarbons, nitrogen </w:t>
      </w:r>
      <w:proofErr w:type="spellStart"/>
      <w:r w:rsidRPr="001F7AD7">
        <w:rPr>
          <w:rFonts w:ascii="PT Serif" w:hAnsi="PT Serif"/>
          <w:sz w:val="24"/>
          <w:szCs w:val="24"/>
        </w:rPr>
        <w:t>triflouride</w:t>
      </w:r>
      <w:proofErr w:type="spellEnd"/>
      <w:r w:rsidRPr="001F7AD7">
        <w:rPr>
          <w:rFonts w:ascii="PT Serif" w:hAnsi="PT Serif"/>
          <w:sz w:val="24"/>
          <w:szCs w:val="24"/>
        </w:rPr>
        <w:t xml:space="preserve"> (NF3) and sulphur hexafluoride (SF6)). Using each gas’ individual global warming potential (GWP), they are being integrated into a single indicator expressed in units of CO2 equivalents. </w:t>
      </w:r>
    </w:p>
    <w:p w14:paraId="5C45B70D" w14:textId="77777777" w:rsidR="001F7AD7" w:rsidRDefault="001F7AD7" w:rsidP="00072AE4"/>
    <w:p w14:paraId="50FDFF1F" w14:textId="77719A9F" w:rsidR="00AE1B41" w:rsidRDefault="00AE1B41" w:rsidP="00072AE4">
      <w:r w:rsidRPr="001F7AD7">
        <w:lastRenderedPageBreak/>
        <w:t>Emissions data are submitted annually by the EU Member States as part of the reporting under the United Nations Framework Convention on Climate Change (UNFCCC). The average population of the reference year (calculated as the arithmetic mean of the population on 1st January of two consecutive years) is used as denominator (per capita). The indicator does not include emissions and removals related to land use, land-use change and forestry (LULUCF); it does not include emissions reported as a memorandum item according to UNFCCC Guidelines but does include emissions from international aviation as well as indirect CO2 emissions</w:t>
      </w:r>
      <w:r w:rsidRPr="00AE1B41">
        <w:t>.</w:t>
      </w:r>
    </w:p>
    <w:p w14:paraId="06D79EAD" w14:textId="18EF1670" w:rsidR="0010590B" w:rsidRDefault="0010590B" w:rsidP="00072AE4"/>
    <w:p w14:paraId="273C7405" w14:textId="553BB989" w:rsidR="0010590B" w:rsidRDefault="0010590B" w:rsidP="00072AE4"/>
    <w:p w14:paraId="6F498ED0" w14:textId="23836783" w:rsidR="0010590B" w:rsidRDefault="00471A1F" w:rsidP="00471A1F">
      <w:pPr>
        <w:pStyle w:val="Heading2"/>
      </w:pPr>
      <w:r>
        <w:t>Data Descriptions</w:t>
      </w:r>
    </w:p>
    <w:p w14:paraId="0326CE9B" w14:textId="02D0C4C3" w:rsidR="00471A1F" w:rsidRDefault="00471A1F" w:rsidP="00471A1F"/>
    <w:p w14:paraId="04470713" w14:textId="77777777" w:rsidR="00471A1F" w:rsidRDefault="00471A1F" w:rsidP="00471A1F">
      <w:r>
        <w:t>Total greenhouse gas emissions (</w:t>
      </w:r>
      <w:proofErr w:type="spellStart"/>
      <w:r>
        <w:t>kt</w:t>
      </w:r>
      <w:proofErr w:type="spellEnd"/>
      <w:r>
        <w:t xml:space="preserve"> of CO2 equivalent)</w:t>
      </w:r>
    </w:p>
    <w:p w14:paraId="33E723D1" w14:textId="77777777" w:rsidR="00471A1F" w:rsidRDefault="00471A1F" w:rsidP="00471A1F">
      <w:r>
        <w:t xml:space="preserve">Total greenhouse gas emissions in </w:t>
      </w:r>
      <w:proofErr w:type="spellStart"/>
      <w:r>
        <w:t>kt</w:t>
      </w:r>
      <w:proofErr w:type="spellEnd"/>
      <w:r>
        <w:t xml:space="preserve"> of CO2 equivalent are composed of CO2 totals excluding short-cycle biomass burning (such as agricultural waste burning and Savannah burning) but including other biomass burning (such as forest fires, post-burn decay, peat fires and decay of drained peatlands), all anthropogenic CH4 sources, N2O sources and F-gases (HFCs, PFCs and SF6).</w:t>
      </w:r>
    </w:p>
    <w:p w14:paraId="4555E071" w14:textId="77777777" w:rsidR="00471A1F" w:rsidRDefault="00471A1F" w:rsidP="00471A1F"/>
    <w:p w14:paraId="0A902EE3" w14:textId="77777777" w:rsidR="00471A1F" w:rsidRDefault="00471A1F" w:rsidP="00471A1F">
      <w:r>
        <w:t>ID: EN.ATM.GHGT.</w:t>
      </w:r>
      <w:proofErr w:type="gramStart"/>
      <w:r>
        <w:t>KT.CE</w:t>
      </w:r>
      <w:proofErr w:type="gramEnd"/>
    </w:p>
    <w:p w14:paraId="58637A27" w14:textId="77777777" w:rsidR="00471A1F" w:rsidRDefault="00471A1F" w:rsidP="00471A1F">
      <w:r>
        <w:t xml:space="preserve">Source: European Commission, Joint Research Centre </w:t>
      </w:r>
      <w:proofErr w:type="gramStart"/>
      <w:r>
        <w:t>( JRC</w:t>
      </w:r>
      <w:proofErr w:type="gramEnd"/>
      <w:r>
        <w:t xml:space="preserve"> )/Netherlands Environmental Assessment Agency ( PBL ). Emission Database for Global Atmospheric Research </w:t>
      </w:r>
      <w:proofErr w:type="gramStart"/>
      <w:r>
        <w:t>( EDGAR</w:t>
      </w:r>
      <w:proofErr w:type="gramEnd"/>
      <w:r>
        <w:t xml:space="preserve"> ), EDGARv4.2 FT2012: edgar.jrc.ec.europa.eu</w:t>
      </w:r>
    </w:p>
    <w:p w14:paraId="0290D1B0" w14:textId="77777777" w:rsidR="00471A1F" w:rsidRDefault="00471A1F" w:rsidP="00471A1F"/>
    <w:p w14:paraId="16B53847" w14:textId="0C004CD9" w:rsidR="00471A1F" w:rsidRDefault="00471A1F" w:rsidP="00471A1F">
      <w:r>
        <w:t>Aggregation Method: Sum</w:t>
      </w:r>
    </w:p>
    <w:p w14:paraId="413CBA5C" w14:textId="0D6A568C" w:rsidR="00471A1F" w:rsidRDefault="00471A1F" w:rsidP="00471A1F">
      <w:r>
        <w:t xml:space="preserve">Development Relevance: The addition of man-made greenhouse gases to the Atmosphere disturbs the earth's radiative balance. This is leading to an increase in the earth's surface temperature and to related effects on climate, sea level rise and world agriculture. Emissions of CO2 are from burning oil, coal and gas for energy use, burning wood and waste materials, and from industrial processes such as cement production. Emission intensity is the average emission rate of a given pollutant from a given source relative to the intensity of a specific activity. Emission intensities are also used to compare the environmental impact of different fuels or activities. The related terms - emission factor and carbon intensity - are often used interchangeably. The carbon dioxide emissions of a country are only an indicator of one greenhouse gas. For a more complete idea of how a country influences climate change, gases such as methane and nitrous oxide should be taken into account. This is particularly important in agricultural economies. The environmental effects of carbon dioxide are of significant interest. Carbon </w:t>
      </w:r>
      <w:r>
        <w:lastRenderedPageBreak/>
        <w:t xml:space="preserve">dioxide (CO2) makes up the largest share of the greenhouse gases contributing to global warming and climate change. Converting all other greenhouse gases (methane (CH4), nitrous oxide (N2O), hydrofluorocarbons (HFCs), perfluorocarbons (PFCs), Sulphur hexafluoride (SF6)) to carbon dioxide (or CO2) equivalents makes it possible to compare them and to determine their individual and total </w:t>
      </w:r>
    </w:p>
    <w:sectPr w:rsidR="00471A1F" w:rsidSect="00245E5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8F835" w14:textId="77777777" w:rsidR="00D028F0" w:rsidRDefault="00D028F0" w:rsidP="00072AE4">
      <w:r>
        <w:separator/>
      </w:r>
    </w:p>
  </w:endnote>
  <w:endnote w:type="continuationSeparator" w:id="0">
    <w:p w14:paraId="155DEAA6" w14:textId="77777777" w:rsidR="00D028F0" w:rsidRDefault="00D028F0" w:rsidP="0007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8B5A2" w14:textId="77777777" w:rsidR="00D028F0" w:rsidRDefault="00D028F0" w:rsidP="00072AE4">
      <w:r>
        <w:separator/>
      </w:r>
    </w:p>
  </w:footnote>
  <w:footnote w:type="continuationSeparator" w:id="0">
    <w:p w14:paraId="25A4776F" w14:textId="77777777" w:rsidR="00D028F0" w:rsidRDefault="00D028F0" w:rsidP="00072AE4">
      <w:r>
        <w:continuationSeparator/>
      </w:r>
    </w:p>
  </w:footnote>
  <w:footnote w:id="1">
    <w:p w14:paraId="4FBD4963" w14:textId="77777777" w:rsidR="00072AE4" w:rsidRPr="00072AE4" w:rsidRDefault="00072AE4" w:rsidP="00072AE4">
      <w:pPr>
        <w:rPr>
          <w:rFonts w:ascii="Times New Roman" w:eastAsia="Times New Roman" w:hAnsi="Times New Roman" w:cs="Times New Roman"/>
        </w:rPr>
      </w:pPr>
      <w:r>
        <w:rPr>
          <w:rStyle w:val="FootnoteReference"/>
        </w:rPr>
        <w:footnoteRef/>
      </w:r>
      <w:r>
        <w:t xml:space="preserve"> </w:t>
      </w:r>
      <w:hyperlink r:id="rId1" w:history="1">
        <w:r w:rsidRPr="00072AE4">
          <w:rPr>
            <w:rFonts w:ascii="Times New Roman" w:eastAsia="Times New Roman" w:hAnsi="Times New Roman" w:cs="Times New Roman"/>
            <w:color w:val="0000FF"/>
            <w:u w:val="single"/>
          </w:rPr>
          <w:t>https://ec.europa.eu/eurostat/statistics-explained/index.php/Greenhouse_gas_emission_statistics_-_carbon_footprints</w:t>
        </w:r>
      </w:hyperlink>
    </w:p>
    <w:p w14:paraId="7D2A4BCE" w14:textId="2BB54D28" w:rsidR="00072AE4" w:rsidRPr="00072AE4" w:rsidRDefault="00072AE4">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E4"/>
    <w:rsid w:val="00072AE4"/>
    <w:rsid w:val="0010590B"/>
    <w:rsid w:val="001F7AD7"/>
    <w:rsid w:val="00471A1F"/>
    <w:rsid w:val="005C09B6"/>
    <w:rsid w:val="006413A9"/>
    <w:rsid w:val="00773225"/>
    <w:rsid w:val="007C14ED"/>
    <w:rsid w:val="00A762AB"/>
    <w:rsid w:val="00AE1B41"/>
    <w:rsid w:val="00B9378E"/>
    <w:rsid w:val="00D028F0"/>
    <w:rsid w:val="00F751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98F8"/>
  <w15:chartTrackingRefBased/>
  <w15:docId w15:val="{FEA057E7-5686-8F4F-8EEE-5296AC17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D7"/>
  </w:style>
  <w:style w:type="paragraph" w:styleId="Heading1">
    <w:name w:val="heading 1"/>
    <w:basedOn w:val="Normal"/>
    <w:next w:val="Normal"/>
    <w:link w:val="Heading1Char"/>
    <w:uiPriority w:val="9"/>
    <w:qFormat/>
    <w:rsid w:val="001F7AD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F7AD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F7AD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F7AD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F7AD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F7AD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F7AD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F7AD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F7AD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72AE4"/>
    <w:rPr>
      <w:sz w:val="20"/>
      <w:szCs w:val="20"/>
    </w:rPr>
  </w:style>
  <w:style w:type="character" w:customStyle="1" w:styleId="FootnoteTextChar">
    <w:name w:val="Footnote Text Char"/>
    <w:basedOn w:val="DefaultParagraphFont"/>
    <w:link w:val="FootnoteText"/>
    <w:uiPriority w:val="99"/>
    <w:semiHidden/>
    <w:rsid w:val="00072AE4"/>
    <w:rPr>
      <w:sz w:val="20"/>
      <w:szCs w:val="20"/>
    </w:rPr>
  </w:style>
  <w:style w:type="character" w:styleId="FootnoteReference">
    <w:name w:val="footnote reference"/>
    <w:basedOn w:val="DefaultParagraphFont"/>
    <w:uiPriority w:val="99"/>
    <w:semiHidden/>
    <w:unhideWhenUsed/>
    <w:rsid w:val="00072AE4"/>
    <w:rPr>
      <w:vertAlign w:val="superscript"/>
    </w:rPr>
  </w:style>
  <w:style w:type="character" w:styleId="Hyperlink">
    <w:name w:val="Hyperlink"/>
    <w:basedOn w:val="DefaultParagraphFont"/>
    <w:uiPriority w:val="99"/>
    <w:semiHidden/>
    <w:unhideWhenUsed/>
    <w:rsid w:val="00072AE4"/>
    <w:rPr>
      <w:color w:val="0000FF"/>
      <w:u w:val="single"/>
    </w:rPr>
  </w:style>
  <w:style w:type="character" w:customStyle="1" w:styleId="Heading2Char">
    <w:name w:val="Heading 2 Char"/>
    <w:basedOn w:val="DefaultParagraphFont"/>
    <w:link w:val="Heading2"/>
    <w:uiPriority w:val="9"/>
    <w:rsid w:val="001F7AD7"/>
    <w:rPr>
      <w:smallCaps/>
      <w:sz w:val="28"/>
      <w:szCs w:val="28"/>
    </w:rPr>
  </w:style>
  <w:style w:type="character" w:customStyle="1" w:styleId="Heading1Char">
    <w:name w:val="Heading 1 Char"/>
    <w:basedOn w:val="DefaultParagraphFont"/>
    <w:link w:val="Heading1"/>
    <w:uiPriority w:val="9"/>
    <w:rsid w:val="001F7AD7"/>
    <w:rPr>
      <w:smallCaps/>
      <w:spacing w:val="5"/>
      <w:sz w:val="36"/>
      <w:szCs w:val="36"/>
    </w:rPr>
  </w:style>
  <w:style w:type="character" w:customStyle="1" w:styleId="Heading3Char">
    <w:name w:val="Heading 3 Char"/>
    <w:basedOn w:val="DefaultParagraphFont"/>
    <w:link w:val="Heading3"/>
    <w:uiPriority w:val="9"/>
    <w:semiHidden/>
    <w:rsid w:val="001F7AD7"/>
    <w:rPr>
      <w:i/>
      <w:iCs/>
      <w:smallCaps/>
      <w:spacing w:val="5"/>
      <w:sz w:val="26"/>
      <w:szCs w:val="26"/>
    </w:rPr>
  </w:style>
  <w:style w:type="character" w:customStyle="1" w:styleId="Heading4Char">
    <w:name w:val="Heading 4 Char"/>
    <w:basedOn w:val="DefaultParagraphFont"/>
    <w:link w:val="Heading4"/>
    <w:uiPriority w:val="9"/>
    <w:semiHidden/>
    <w:rsid w:val="001F7AD7"/>
    <w:rPr>
      <w:b/>
      <w:bCs/>
      <w:spacing w:val="5"/>
      <w:sz w:val="24"/>
      <w:szCs w:val="24"/>
    </w:rPr>
  </w:style>
  <w:style w:type="character" w:customStyle="1" w:styleId="Heading5Char">
    <w:name w:val="Heading 5 Char"/>
    <w:basedOn w:val="DefaultParagraphFont"/>
    <w:link w:val="Heading5"/>
    <w:uiPriority w:val="9"/>
    <w:semiHidden/>
    <w:rsid w:val="001F7AD7"/>
    <w:rPr>
      <w:i/>
      <w:iCs/>
      <w:sz w:val="24"/>
      <w:szCs w:val="24"/>
    </w:rPr>
  </w:style>
  <w:style w:type="character" w:customStyle="1" w:styleId="Heading6Char">
    <w:name w:val="Heading 6 Char"/>
    <w:basedOn w:val="DefaultParagraphFont"/>
    <w:link w:val="Heading6"/>
    <w:uiPriority w:val="9"/>
    <w:semiHidden/>
    <w:rsid w:val="001F7AD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F7AD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F7AD7"/>
    <w:rPr>
      <w:b/>
      <w:bCs/>
      <w:color w:val="7F7F7F" w:themeColor="text1" w:themeTint="80"/>
      <w:sz w:val="20"/>
      <w:szCs w:val="20"/>
    </w:rPr>
  </w:style>
  <w:style w:type="character" w:customStyle="1" w:styleId="Heading9Char">
    <w:name w:val="Heading 9 Char"/>
    <w:basedOn w:val="DefaultParagraphFont"/>
    <w:link w:val="Heading9"/>
    <w:uiPriority w:val="9"/>
    <w:semiHidden/>
    <w:rsid w:val="001F7AD7"/>
    <w:rPr>
      <w:b/>
      <w:bCs/>
      <w:i/>
      <w:iCs/>
      <w:color w:val="7F7F7F" w:themeColor="text1" w:themeTint="80"/>
      <w:sz w:val="18"/>
      <w:szCs w:val="18"/>
    </w:rPr>
  </w:style>
  <w:style w:type="paragraph" w:styleId="Caption">
    <w:name w:val="caption"/>
    <w:basedOn w:val="Normal"/>
    <w:next w:val="Normal"/>
    <w:uiPriority w:val="35"/>
    <w:semiHidden/>
    <w:unhideWhenUsed/>
    <w:rsid w:val="001F7AD7"/>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1F7AD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F7AD7"/>
    <w:rPr>
      <w:smallCaps/>
      <w:sz w:val="52"/>
      <w:szCs w:val="52"/>
    </w:rPr>
  </w:style>
  <w:style w:type="paragraph" w:styleId="Subtitle">
    <w:name w:val="Subtitle"/>
    <w:basedOn w:val="Normal"/>
    <w:next w:val="Normal"/>
    <w:link w:val="SubtitleChar"/>
    <w:uiPriority w:val="11"/>
    <w:qFormat/>
    <w:rsid w:val="001F7AD7"/>
    <w:rPr>
      <w:i/>
      <w:iCs/>
      <w:smallCaps/>
      <w:spacing w:val="10"/>
      <w:sz w:val="28"/>
      <w:szCs w:val="28"/>
    </w:rPr>
  </w:style>
  <w:style w:type="character" w:customStyle="1" w:styleId="SubtitleChar">
    <w:name w:val="Subtitle Char"/>
    <w:basedOn w:val="DefaultParagraphFont"/>
    <w:link w:val="Subtitle"/>
    <w:uiPriority w:val="11"/>
    <w:rsid w:val="001F7AD7"/>
    <w:rPr>
      <w:i/>
      <w:iCs/>
      <w:smallCaps/>
      <w:spacing w:val="10"/>
      <w:sz w:val="28"/>
      <w:szCs w:val="28"/>
    </w:rPr>
  </w:style>
  <w:style w:type="character" w:styleId="Strong">
    <w:name w:val="Strong"/>
    <w:uiPriority w:val="22"/>
    <w:qFormat/>
    <w:rsid w:val="001F7AD7"/>
    <w:rPr>
      <w:b/>
      <w:bCs/>
    </w:rPr>
  </w:style>
  <w:style w:type="character" w:styleId="Emphasis">
    <w:name w:val="Emphasis"/>
    <w:uiPriority w:val="20"/>
    <w:qFormat/>
    <w:rsid w:val="001F7AD7"/>
    <w:rPr>
      <w:b/>
      <w:bCs/>
      <w:i/>
      <w:iCs/>
      <w:spacing w:val="10"/>
    </w:rPr>
  </w:style>
  <w:style w:type="paragraph" w:styleId="NoSpacing">
    <w:name w:val="No Spacing"/>
    <w:basedOn w:val="Normal"/>
    <w:link w:val="NoSpacingChar"/>
    <w:uiPriority w:val="1"/>
    <w:qFormat/>
    <w:rsid w:val="001F7AD7"/>
    <w:pPr>
      <w:spacing w:after="0" w:line="240" w:lineRule="auto"/>
    </w:pPr>
  </w:style>
  <w:style w:type="paragraph" w:styleId="ListParagraph">
    <w:name w:val="List Paragraph"/>
    <w:basedOn w:val="Normal"/>
    <w:uiPriority w:val="34"/>
    <w:qFormat/>
    <w:rsid w:val="001F7AD7"/>
    <w:pPr>
      <w:ind w:left="720"/>
      <w:contextualSpacing/>
    </w:pPr>
  </w:style>
  <w:style w:type="paragraph" w:styleId="Quote">
    <w:name w:val="Quote"/>
    <w:basedOn w:val="Normal"/>
    <w:next w:val="Normal"/>
    <w:link w:val="QuoteChar"/>
    <w:uiPriority w:val="29"/>
    <w:qFormat/>
    <w:rsid w:val="001F7AD7"/>
    <w:rPr>
      <w:i/>
      <w:iCs/>
    </w:rPr>
  </w:style>
  <w:style w:type="character" w:customStyle="1" w:styleId="QuoteChar">
    <w:name w:val="Quote Char"/>
    <w:basedOn w:val="DefaultParagraphFont"/>
    <w:link w:val="Quote"/>
    <w:uiPriority w:val="29"/>
    <w:rsid w:val="001F7AD7"/>
    <w:rPr>
      <w:i/>
      <w:iCs/>
    </w:rPr>
  </w:style>
  <w:style w:type="paragraph" w:styleId="IntenseQuote">
    <w:name w:val="Intense Quote"/>
    <w:basedOn w:val="Normal"/>
    <w:next w:val="Normal"/>
    <w:link w:val="IntenseQuoteChar"/>
    <w:uiPriority w:val="30"/>
    <w:qFormat/>
    <w:rsid w:val="001F7AD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F7AD7"/>
    <w:rPr>
      <w:i/>
      <w:iCs/>
    </w:rPr>
  </w:style>
  <w:style w:type="character" w:styleId="SubtleEmphasis">
    <w:name w:val="Subtle Emphasis"/>
    <w:uiPriority w:val="19"/>
    <w:qFormat/>
    <w:rsid w:val="001F7AD7"/>
    <w:rPr>
      <w:i/>
      <w:iCs/>
    </w:rPr>
  </w:style>
  <w:style w:type="character" w:styleId="IntenseEmphasis">
    <w:name w:val="Intense Emphasis"/>
    <w:uiPriority w:val="21"/>
    <w:qFormat/>
    <w:rsid w:val="001F7AD7"/>
    <w:rPr>
      <w:b/>
      <w:bCs/>
      <w:i/>
      <w:iCs/>
    </w:rPr>
  </w:style>
  <w:style w:type="character" w:styleId="SubtleReference">
    <w:name w:val="Subtle Reference"/>
    <w:basedOn w:val="DefaultParagraphFont"/>
    <w:uiPriority w:val="31"/>
    <w:qFormat/>
    <w:rsid w:val="001F7AD7"/>
    <w:rPr>
      <w:smallCaps/>
    </w:rPr>
  </w:style>
  <w:style w:type="character" w:styleId="IntenseReference">
    <w:name w:val="Intense Reference"/>
    <w:uiPriority w:val="32"/>
    <w:qFormat/>
    <w:rsid w:val="001F7AD7"/>
    <w:rPr>
      <w:b/>
      <w:bCs/>
      <w:smallCaps/>
    </w:rPr>
  </w:style>
  <w:style w:type="character" w:styleId="BookTitle">
    <w:name w:val="Book Title"/>
    <w:basedOn w:val="DefaultParagraphFont"/>
    <w:uiPriority w:val="33"/>
    <w:qFormat/>
    <w:rsid w:val="001F7AD7"/>
    <w:rPr>
      <w:i/>
      <w:iCs/>
      <w:smallCaps/>
      <w:spacing w:val="5"/>
    </w:rPr>
  </w:style>
  <w:style w:type="paragraph" w:styleId="TOCHeading">
    <w:name w:val="TOC Heading"/>
    <w:basedOn w:val="Heading1"/>
    <w:next w:val="Normal"/>
    <w:uiPriority w:val="39"/>
    <w:semiHidden/>
    <w:unhideWhenUsed/>
    <w:qFormat/>
    <w:rsid w:val="001F7AD7"/>
    <w:pPr>
      <w:outlineLvl w:val="9"/>
    </w:pPr>
  </w:style>
  <w:style w:type="paragraph" w:customStyle="1" w:styleId="PersonalName">
    <w:name w:val="Personal Name"/>
    <w:basedOn w:val="Title"/>
    <w:rsid w:val="001F7AD7"/>
    <w:rPr>
      <w:b/>
      <w:caps/>
      <w:color w:val="000000"/>
      <w:sz w:val="28"/>
      <w:szCs w:val="28"/>
    </w:rPr>
  </w:style>
  <w:style w:type="character" w:customStyle="1" w:styleId="NoSpacingChar">
    <w:name w:val="No Spacing Char"/>
    <w:basedOn w:val="DefaultParagraphFont"/>
    <w:link w:val="NoSpacing"/>
    <w:uiPriority w:val="1"/>
    <w:rsid w:val="001F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5649">
      <w:bodyDiv w:val="1"/>
      <w:marLeft w:val="0"/>
      <w:marRight w:val="0"/>
      <w:marTop w:val="0"/>
      <w:marBottom w:val="0"/>
      <w:divBdr>
        <w:top w:val="none" w:sz="0" w:space="0" w:color="auto"/>
        <w:left w:val="none" w:sz="0" w:space="0" w:color="auto"/>
        <w:bottom w:val="none" w:sz="0" w:space="0" w:color="auto"/>
        <w:right w:val="none" w:sz="0" w:space="0" w:color="auto"/>
      </w:divBdr>
    </w:div>
    <w:div w:id="9584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europa.eu/eurostat/statistics-explained/index.php?title=Glossary:Carbon_dioxide_emissions" TargetMode="External"/><Relationship Id="rId18" Type="http://schemas.openxmlformats.org/officeDocument/2006/relationships/hyperlink" Target="https://ec.europa.eu/eurostat/statistics-explained/index.php?title=Glossary:Per_capi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c.europa.eu/eurostat/statistics-explained/index.php?title=Glossary:Eurostat" TargetMode="External"/><Relationship Id="rId2" Type="http://schemas.openxmlformats.org/officeDocument/2006/relationships/numbering" Target="numbering.xml"/><Relationship Id="rId16" Type="http://schemas.openxmlformats.org/officeDocument/2006/relationships/hyperlink" Target="http://ec.europa.eu/eurostat/statistics-explained/index.php/Greenhouse_gas_emission_statistics_-_air_emissions_accou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c.europa.eu/eurostat/statistics-explained/index.php?title=Glossary:Estimate"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c.europa.eu/eurostat/statistics-explained/index.php?title=Glossary:EU_enlargemen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eurostat/statistics-explained/index.php/Greenhouse_gas_emission_statistics_-_carbon_foot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CC896-1CFE-1047-824E-359C30B8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Jakobsen</dc:creator>
  <cp:keywords/>
  <dc:description/>
  <cp:lastModifiedBy>Peter Jakobsen</cp:lastModifiedBy>
  <cp:revision>2</cp:revision>
  <dcterms:created xsi:type="dcterms:W3CDTF">2020-05-02T01:24:00Z</dcterms:created>
  <dcterms:modified xsi:type="dcterms:W3CDTF">2020-05-02T01:24:00Z</dcterms:modified>
</cp:coreProperties>
</file>