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C57C5" w14:textId="77777777" w:rsidR="008B0C76" w:rsidRPr="002C0D77" w:rsidRDefault="008B0C76" w:rsidP="008B0C76">
      <w:pPr>
        <w:rPr>
          <w:b/>
          <w:lang w:val="en-US"/>
        </w:rPr>
      </w:pPr>
      <w:r w:rsidRPr="002C0D77">
        <w:rPr>
          <w:b/>
          <w:lang w:val="en-US"/>
        </w:rPr>
        <w:t>X. EFFECTS OF WEATHER ME</w:t>
      </w:r>
      <w:r>
        <w:rPr>
          <w:b/>
          <w:lang w:val="en-US"/>
        </w:rPr>
        <w:t xml:space="preserve">ASURES ON </w:t>
      </w:r>
      <w:r w:rsidRPr="002C0D77">
        <w:rPr>
          <w:b/>
          <w:lang w:val="en-US"/>
        </w:rPr>
        <w:t xml:space="preserve">SUICIDE </w:t>
      </w:r>
      <w:r>
        <w:rPr>
          <w:b/>
          <w:lang w:val="en-US"/>
        </w:rPr>
        <w:t>RATES –</w:t>
      </w:r>
      <w:r w:rsidRPr="002C0D77">
        <w:rPr>
          <w:b/>
          <w:lang w:val="en-US"/>
        </w:rPr>
        <w:t xml:space="preserve"> GLOBAL</w:t>
      </w:r>
      <w:r>
        <w:rPr>
          <w:b/>
          <w:lang w:val="en-US"/>
        </w:rPr>
        <w:t xml:space="preserve"> STUDY</w:t>
      </w:r>
      <w:bookmarkStart w:id="0" w:name="_GoBack"/>
      <w:bookmarkEnd w:id="0"/>
    </w:p>
    <w:p w14:paraId="13CFFADC" w14:textId="77777777" w:rsidR="008B0C76" w:rsidRDefault="008B0C76" w:rsidP="008B0C76">
      <w:pPr>
        <w:jc w:val="both"/>
      </w:pPr>
      <w:r>
        <w:t>Some studies have been centered around the effects of weather metrics, such as temperate, wind, sunshine on behavioural aspects of humans, including suicides</w:t>
      </w:r>
      <w:r>
        <w:rPr>
          <w:vertAlign w:val="superscript"/>
        </w:rPr>
        <w:t>1-5</w:t>
      </w:r>
      <w:r>
        <w:t>.</w:t>
      </w:r>
    </w:p>
    <w:p w14:paraId="2CD778AE" w14:textId="77777777" w:rsidR="008B0C76" w:rsidRDefault="008B0C76" w:rsidP="008B0C76">
      <w:pPr>
        <w:jc w:val="both"/>
      </w:pPr>
      <w:r>
        <w:t xml:space="preserve">We found it interesting to compare our global dataset of suicide rates to weather metrics and see if there are some patterns that could be studied further. </w:t>
      </w:r>
    </w:p>
    <w:p w14:paraId="613D6BDF" w14:textId="77777777" w:rsidR="008B0C76" w:rsidRDefault="008B0C76" w:rsidP="008B0C76">
      <w:pPr>
        <w:jc w:val="both"/>
      </w:pPr>
      <w:r>
        <w:t>The first step of this analysis is to find a reliable data set for weather, which was quite challenging given the vast amount of unstructured data and poor capture quality.</w:t>
      </w:r>
    </w:p>
    <w:p w14:paraId="68719D53" w14:textId="77777777" w:rsidR="00EE0230" w:rsidRDefault="008B0C76" w:rsidP="008B0C76">
      <w:pPr>
        <w:jc w:val="both"/>
      </w:pPr>
      <w:r>
        <w:t>It was finally extracted from a slice of 2017 data of NSDC:</w:t>
      </w:r>
      <w:r w:rsidRPr="00E318A9">
        <w:t xml:space="preserve"> </w:t>
      </w:r>
    </w:p>
    <w:p w14:paraId="0C6040DA" w14:textId="1DDA3FF4" w:rsidR="008B0C76" w:rsidRDefault="00EE0230" w:rsidP="008B0C76">
      <w:pPr>
        <w:jc w:val="both"/>
      </w:pPr>
      <w:hyperlink r:id="rId7" w:history="1">
        <w:r w:rsidRPr="007B4143">
          <w:rPr>
            <w:rStyle w:val="Hyperlink"/>
          </w:rPr>
          <w:t>https://www.ncdc.noaa.gov/data-access/land-based-station-data/land-based-datasets/global-historical-climatology-network-ghcn</w:t>
        </w:r>
      </w:hyperlink>
    </w:p>
    <w:p w14:paraId="63A4A1D1" w14:textId="77777777" w:rsidR="008B0C76" w:rsidRPr="007F6FE9" w:rsidRDefault="008B0C76" w:rsidP="008B0C76">
      <w:pPr>
        <w:jc w:val="both"/>
        <w:rPr>
          <w:b/>
        </w:rPr>
      </w:pPr>
      <w:r>
        <w:t xml:space="preserve">Low, High and Average temperatures per country were calculated from </w:t>
      </w:r>
      <w:r w:rsidRPr="00E318A9">
        <w:t>34</w:t>
      </w:r>
      <w:r>
        <w:t>,</w:t>
      </w:r>
      <w:r w:rsidRPr="00E318A9">
        <w:t>854</w:t>
      </w:r>
      <w:r>
        <w:t>,</w:t>
      </w:r>
      <w:r w:rsidRPr="00E318A9">
        <w:t>601</w:t>
      </w:r>
      <w:r>
        <w:t xml:space="preserve"> data readings from stations across the globe (219 different countries) during that year. And those readings were used to further enrich the suicides data frame. </w:t>
      </w:r>
      <w:r>
        <w:rPr>
          <w:b/>
        </w:rPr>
        <w:br w:type="page"/>
      </w:r>
      <w:r w:rsidRPr="007F6FE9">
        <w:rPr>
          <w:b/>
        </w:rPr>
        <w:lastRenderedPageBreak/>
        <w:t xml:space="preserve">x.1 </w:t>
      </w:r>
      <w:r>
        <w:rPr>
          <w:b/>
        </w:rPr>
        <w:t>Average temperate and Suicide Rate in different countries</w:t>
      </w:r>
    </w:p>
    <w:p w14:paraId="3DE0B8BA" w14:textId="77777777" w:rsidR="008B0C76" w:rsidRDefault="008B0C76" w:rsidP="008B0C76">
      <w:pPr>
        <w:jc w:val="both"/>
      </w:pPr>
      <w:r>
        <w:rPr>
          <w:noProof/>
        </w:rPr>
        <w:drawing>
          <wp:inline distT="0" distB="0" distL="0" distR="0" wp14:anchorId="7B978FE8" wp14:editId="0078B64A">
            <wp:extent cx="6324165" cy="6781800"/>
            <wp:effectExtent l="0" t="0" r="635" b="0"/>
            <wp:docPr id="2" name="Picture 2" descr="C:\Users\romneyd\AppData\Local\Microsoft\Windows\INetCache\Content.MSO\DCEC9C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mneyd\AppData\Local\Microsoft\Windows\INetCache\Content.MSO\DCEC9C4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1569" cy="6832635"/>
                    </a:xfrm>
                    <a:prstGeom prst="rect">
                      <a:avLst/>
                    </a:prstGeom>
                    <a:noFill/>
                    <a:ln>
                      <a:noFill/>
                    </a:ln>
                  </pic:spPr>
                </pic:pic>
              </a:graphicData>
            </a:graphic>
          </wp:inline>
        </w:drawing>
      </w:r>
    </w:p>
    <w:p w14:paraId="711B7D53" w14:textId="77777777" w:rsidR="008B0C76" w:rsidRDefault="008B0C76" w:rsidP="008B0C76">
      <w:pPr>
        <w:jc w:val="both"/>
      </w:pPr>
      <w:r>
        <w:t>As shown in Figure x.1, there seems to be a relationship with the suicide rate by 100k population and the average temperate, it seems that the lower the average temperature, the higher the suicide rate.</w:t>
      </w:r>
    </w:p>
    <w:p w14:paraId="46A3DD7A" w14:textId="77777777" w:rsidR="008B0C76" w:rsidRDefault="008B0C76" w:rsidP="008B0C76">
      <w:pPr>
        <w:jc w:val="both"/>
      </w:pPr>
      <w:r>
        <w:t>It is relevant to point out that there are some countries which do not follow this pattern.</w:t>
      </w:r>
    </w:p>
    <w:p w14:paraId="177462C5" w14:textId="77777777" w:rsidR="008B0C76" w:rsidRDefault="008B0C76" w:rsidP="008B0C76">
      <w:pPr>
        <w:jc w:val="both"/>
      </w:pPr>
      <w:r>
        <w:t xml:space="preserve">On the low temperate end of spectrum, Iceland, Sweden, Armenia, Switzerland, Denmark and UK have low suicide rates but still low temperatures, which would be interesting for a follow up study on </w:t>
      </w:r>
      <w:r>
        <w:lastRenderedPageBreak/>
        <w:t xml:space="preserve">how other variables can influence this, such as Sunshine, Wind, but also GDP per capita, as they are wealthy countries, where people can afford to travel and spend long periods of time in better weather regions. </w:t>
      </w:r>
    </w:p>
    <w:p w14:paraId="66FDE40C" w14:textId="77777777" w:rsidR="008B0C76" w:rsidRDefault="008B0C76" w:rsidP="008B0C76">
      <w:pPr>
        <w:jc w:val="both"/>
      </w:pPr>
      <w:r>
        <w:t xml:space="preserve">On the other hand, there are some countries with high suicide rates and high average temperatures. It probably must be said that at some point this relationship seems to fear off, around the 15C average temperature, where bodies </w:t>
      </w:r>
      <w:proofErr w:type="gramStart"/>
      <w:r>
        <w:t>would  comfortable</w:t>
      </w:r>
      <w:proofErr w:type="gramEnd"/>
      <w:r>
        <w:t>.</w:t>
      </w:r>
    </w:p>
    <w:p w14:paraId="3522A150" w14:textId="77777777" w:rsidR="008B0C76" w:rsidRDefault="008B0C76" w:rsidP="008B0C76">
      <w:pPr>
        <w:jc w:val="both"/>
      </w:pPr>
      <w:r w:rsidRPr="007F6FE9">
        <w:rPr>
          <w:b/>
        </w:rPr>
        <w:t>x.</w:t>
      </w:r>
      <w:r>
        <w:rPr>
          <w:b/>
        </w:rPr>
        <w:t>2</w:t>
      </w:r>
      <w:r w:rsidRPr="007F6FE9">
        <w:rPr>
          <w:b/>
        </w:rPr>
        <w:t xml:space="preserve"> </w:t>
      </w:r>
      <w:r>
        <w:rPr>
          <w:b/>
        </w:rPr>
        <w:t>Correlation between Male and Female Suicides and Average Temperatures</w:t>
      </w:r>
    </w:p>
    <w:p w14:paraId="0C9344B2" w14:textId="77777777" w:rsidR="008B0C76" w:rsidRDefault="008B0C76" w:rsidP="008B0C76">
      <w:pPr>
        <w:jc w:val="both"/>
      </w:pPr>
      <w:r>
        <w:rPr>
          <w:noProof/>
        </w:rPr>
        <w:drawing>
          <wp:inline distT="0" distB="0" distL="0" distR="0" wp14:anchorId="31F5E3DD" wp14:editId="41336ADB">
            <wp:extent cx="1536700" cy="699004"/>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55541" cy="707574"/>
                    </a:xfrm>
                    <a:prstGeom prst="rect">
                      <a:avLst/>
                    </a:prstGeom>
                  </pic:spPr>
                </pic:pic>
              </a:graphicData>
            </a:graphic>
          </wp:inline>
        </w:drawing>
      </w:r>
    </w:p>
    <w:p w14:paraId="08BF10D9" w14:textId="77777777" w:rsidR="008B0C76" w:rsidRDefault="008B0C76" w:rsidP="008B0C76">
      <w:pPr>
        <w:jc w:val="both"/>
      </w:pPr>
      <w:r>
        <w:t xml:space="preserve">It is interesting to point out that females seem more resilient to temperature changes, and the correlation to suicide rates is lower. </w:t>
      </w:r>
    </w:p>
    <w:p w14:paraId="24F60071" w14:textId="77777777" w:rsidR="008B0C76" w:rsidRDefault="008B0C76" w:rsidP="008B0C76">
      <w:pPr>
        <w:jc w:val="both"/>
        <w:rPr>
          <w:b/>
        </w:rPr>
      </w:pPr>
    </w:p>
    <w:p w14:paraId="0C7BBDF4" w14:textId="77777777" w:rsidR="008B0C76" w:rsidRDefault="008B0C76" w:rsidP="008B0C76">
      <w:pPr>
        <w:jc w:val="both"/>
      </w:pPr>
      <w:r w:rsidRPr="007F6FE9">
        <w:rPr>
          <w:b/>
        </w:rPr>
        <w:t>x.</w:t>
      </w:r>
      <w:r>
        <w:rPr>
          <w:b/>
        </w:rPr>
        <w:t>3</w:t>
      </w:r>
      <w:r w:rsidRPr="007F6FE9">
        <w:rPr>
          <w:b/>
        </w:rPr>
        <w:t xml:space="preserve"> </w:t>
      </w:r>
      <w:r>
        <w:rPr>
          <w:b/>
        </w:rPr>
        <w:t>Correlation between Suicides and Maximum, Minimum and Average Temperatures</w:t>
      </w:r>
    </w:p>
    <w:p w14:paraId="0232F763" w14:textId="77777777" w:rsidR="008B0C76" w:rsidRDefault="008B0C76" w:rsidP="008B0C76">
      <w:pPr>
        <w:jc w:val="both"/>
      </w:pPr>
      <w:r>
        <w:rPr>
          <w:noProof/>
        </w:rPr>
        <w:drawing>
          <wp:inline distT="0" distB="0" distL="0" distR="0" wp14:anchorId="6C97232B" wp14:editId="7D2D156A">
            <wp:extent cx="4034413" cy="5588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9569" cy="569210"/>
                    </a:xfrm>
                    <a:prstGeom prst="rect">
                      <a:avLst/>
                    </a:prstGeom>
                  </pic:spPr>
                </pic:pic>
              </a:graphicData>
            </a:graphic>
          </wp:inline>
        </w:drawing>
      </w:r>
    </w:p>
    <w:p w14:paraId="784937D9" w14:textId="77777777" w:rsidR="008B0C76" w:rsidRDefault="008B0C76" w:rsidP="008B0C76">
      <w:pPr>
        <w:jc w:val="both"/>
      </w:pPr>
      <w:r>
        <w:t>Correlation was calculated, as an average for all groups and ages, and it is the most significant when discussing average temperate, which makes sense given the extreme weathers some countries have.</w:t>
      </w:r>
    </w:p>
    <w:p w14:paraId="2BF08A74" w14:textId="77777777" w:rsidR="008B0C76" w:rsidRPr="001D02EB" w:rsidRDefault="008B0C76" w:rsidP="008B0C76">
      <w:pPr>
        <w:jc w:val="both"/>
      </w:pPr>
      <w:r>
        <w:t xml:space="preserve">Further analysis was done to see which age group is most vulnerable to this effect, and what group is most resilient. </w:t>
      </w:r>
    </w:p>
    <w:p w14:paraId="45FC500B" w14:textId="77777777" w:rsidR="008B0C76" w:rsidRDefault="008B0C76" w:rsidP="008B0C76">
      <w:pPr>
        <w:jc w:val="both"/>
      </w:pPr>
      <w:r>
        <w:t xml:space="preserve">Probably it is not surprising to see no relationship with temperate and suicide rates for kids (aged 5-14), where the data shows almost no correlation (-0.08), this correlation keeps growing with age plateauing at 55-75 age group, when it is the highest in the dataset (-0.54) . </w:t>
      </w:r>
    </w:p>
    <w:p w14:paraId="5C1E68BC" w14:textId="217F3621" w:rsidR="001E23F9" w:rsidRPr="008B0C76" w:rsidRDefault="001E23F9" w:rsidP="008B0C76"/>
    <w:sectPr w:rsidR="001E23F9" w:rsidRPr="008B0C76" w:rsidSect="00640F51">
      <w:headerReference w:type="default" r:id="rId11"/>
      <w:footerReference w:type="first" r:id="rId12"/>
      <w:pgSz w:w="12240" w:h="15840" w:code="1"/>
      <w:pgMar w:top="1440" w:right="864" w:bottom="108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A0B94" w14:textId="77777777" w:rsidR="006B4A7A" w:rsidRDefault="006B4A7A">
      <w:r>
        <w:separator/>
      </w:r>
    </w:p>
  </w:endnote>
  <w:endnote w:type="continuationSeparator" w:id="0">
    <w:p w14:paraId="6B11BA62" w14:textId="77777777" w:rsidR="006B4A7A" w:rsidRDefault="006B4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108C0" w14:textId="26E81FC0" w:rsidR="002C0D77" w:rsidRPr="008B0C76" w:rsidRDefault="002C0D77" w:rsidP="002C0D77">
    <w:pPr>
      <w:pStyle w:val="Footer"/>
      <w:numPr>
        <w:ilvl w:val="0"/>
        <w:numId w:val="3"/>
      </w:numPr>
      <w:rPr>
        <w:sz w:val="20"/>
        <w:szCs w:val="20"/>
      </w:rPr>
    </w:pPr>
    <w:proofErr w:type="spellStart"/>
    <w:r w:rsidRPr="008B0C76">
      <w:rPr>
        <w:sz w:val="20"/>
        <w:szCs w:val="20"/>
      </w:rPr>
      <w:t>Popoli</w:t>
    </w:r>
    <w:proofErr w:type="spellEnd"/>
    <w:r w:rsidRPr="008B0C76">
      <w:rPr>
        <w:sz w:val="20"/>
        <w:szCs w:val="20"/>
      </w:rPr>
      <w:t xml:space="preserve"> G, </w:t>
    </w:r>
    <w:proofErr w:type="spellStart"/>
    <w:r w:rsidRPr="008B0C76">
      <w:rPr>
        <w:sz w:val="20"/>
        <w:szCs w:val="20"/>
      </w:rPr>
      <w:t>Sobelman</w:t>
    </w:r>
    <w:proofErr w:type="spellEnd"/>
    <w:r w:rsidRPr="008B0C76">
      <w:rPr>
        <w:sz w:val="20"/>
        <w:szCs w:val="20"/>
      </w:rPr>
      <w:t xml:space="preserve"> S, </w:t>
    </w:r>
    <w:proofErr w:type="spellStart"/>
    <w:r w:rsidRPr="008B0C76">
      <w:rPr>
        <w:sz w:val="20"/>
        <w:szCs w:val="20"/>
      </w:rPr>
      <w:t>Kanarek</w:t>
    </w:r>
    <w:proofErr w:type="spellEnd"/>
    <w:r w:rsidRPr="008B0C76">
      <w:rPr>
        <w:sz w:val="20"/>
        <w:szCs w:val="20"/>
      </w:rPr>
      <w:t xml:space="preserve"> NF. Suicide </w:t>
    </w:r>
    <w:proofErr w:type="spellStart"/>
    <w:r w:rsidRPr="008B0C76">
      <w:rPr>
        <w:sz w:val="20"/>
        <w:szCs w:val="20"/>
      </w:rPr>
      <w:t>inthe</w:t>
    </w:r>
    <w:proofErr w:type="spellEnd"/>
    <w:r w:rsidRPr="008B0C76">
      <w:rPr>
        <w:sz w:val="20"/>
        <w:szCs w:val="20"/>
      </w:rPr>
      <w:t xml:space="preserve"> State of Maryland, 1970-80. Public </w:t>
    </w:r>
    <w:proofErr w:type="spellStart"/>
    <w:r w:rsidRPr="008B0C76">
      <w:rPr>
        <w:sz w:val="20"/>
        <w:szCs w:val="20"/>
      </w:rPr>
      <w:t>HealthReports</w:t>
    </w:r>
    <w:proofErr w:type="spellEnd"/>
    <w:r w:rsidRPr="008B0C76">
      <w:rPr>
        <w:sz w:val="20"/>
        <w:szCs w:val="20"/>
      </w:rPr>
      <w:t xml:space="preserve"> </w:t>
    </w:r>
    <w:proofErr w:type="gramStart"/>
    <w:r w:rsidRPr="008B0C76">
      <w:rPr>
        <w:sz w:val="20"/>
        <w:szCs w:val="20"/>
      </w:rPr>
      <w:t>1989;104:298</w:t>
    </w:r>
    <w:proofErr w:type="gramEnd"/>
    <w:r w:rsidRPr="008B0C76">
      <w:rPr>
        <w:sz w:val="20"/>
        <w:szCs w:val="20"/>
      </w:rPr>
      <w:t>-301</w:t>
    </w:r>
  </w:p>
  <w:p w14:paraId="53AA6569" w14:textId="7E859CFB" w:rsidR="002C0D77" w:rsidRPr="008B0C76" w:rsidRDefault="002C0D77" w:rsidP="002C0D77">
    <w:pPr>
      <w:pStyle w:val="Footer"/>
      <w:numPr>
        <w:ilvl w:val="0"/>
        <w:numId w:val="3"/>
      </w:numPr>
      <w:rPr>
        <w:sz w:val="20"/>
        <w:szCs w:val="20"/>
      </w:rPr>
    </w:pPr>
    <w:r w:rsidRPr="008B0C76">
      <w:rPr>
        <w:sz w:val="20"/>
        <w:szCs w:val="20"/>
      </w:rPr>
      <w:t xml:space="preserve">Massing W, </w:t>
    </w:r>
    <w:proofErr w:type="spellStart"/>
    <w:r w:rsidRPr="008B0C76">
      <w:rPr>
        <w:sz w:val="20"/>
        <w:szCs w:val="20"/>
      </w:rPr>
      <w:t>Angermeyer</w:t>
    </w:r>
    <w:proofErr w:type="spellEnd"/>
    <w:r w:rsidRPr="008B0C76">
      <w:rPr>
        <w:sz w:val="20"/>
        <w:szCs w:val="20"/>
      </w:rPr>
      <w:t xml:space="preserve"> MC. The monthly </w:t>
    </w:r>
    <w:proofErr w:type="spellStart"/>
    <w:r w:rsidRPr="008B0C76">
      <w:rPr>
        <w:sz w:val="20"/>
        <w:szCs w:val="20"/>
      </w:rPr>
      <w:t>andweekly</w:t>
    </w:r>
    <w:proofErr w:type="spellEnd"/>
    <w:r w:rsidRPr="008B0C76">
      <w:rPr>
        <w:sz w:val="20"/>
        <w:szCs w:val="20"/>
      </w:rPr>
      <w:t xml:space="preserve"> distribution of suicide. Soc Sci Med</w:t>
    </w:r>
    <w:proofErr w:type="gramStart"/>
    <w:r w:rsidRPr="008B0C76">
      <w:rPr>
        <w:sz w:val="20"/>
        <w:szCs w:val="20"/>
      </w:rPr>
      <w:t>1985;21:433</w:t>
    </w:r>
    <w:proofErr w:type="gramEnd"/>
    <w:r w:rsidRPr="008B0C76">
      <w:rPr>
        <w:sz w:val="20"/>
        <w:szCs w:val="20"/>
      </w:rPr>
      <w:t>-41.</w:t>
    </w:r>
  </w:p>
  <w:p w14:paraId="66E43EE5" w14:textId="2FD30542" w:rsidR="002C0D77" w:rsidRPr="008B0C76" w:rsidRDefault="002C0D77" w:rsidP="002C0D77">
    <w:pPr>
      <w:pStyle w:val="Footer"/>
      <w:numPr>
        <w:ilvl w:val="0"/>
        <w:numId w:val="3"/>
      </w:numPr>
      <w:rPr>
        <w:sz w:val="20"/>
        <w:szCs w:val="20"/>
      </w:rPr>
    </w:pPr>
    <w:r w:rsidRPr="008B0C76">
      <w:rPr>
        <w:sz w:val="20"/>
        <w:szCs w:val="20"/>
      </w:rPr>
      <w:t xml:space="preserve">Araki S, Murata K. Suicide in </w:t>
    </w:r>
    <w:proofErr w:type="spellStart"/>
    <w:proofErr w:type="gramStart"/>
    <w:r w:rsidRPr="008B0C76">
      <w:rPr>
        <w:sz w:val="20"/>
        <w:szCs w:val="20"/>
      </w:rPr>
      <w:t>Japan:Socioeconomic</w:t>
    </w:r>
    <w:proofErr w:type="spellEnd"/>
    <w:proofErr w:type="gramEnd"/>
    <w:r w:rsidRPr="008B0C76">
      <w:rPr>
        <w:sz w:val="20"/>
        <w:szCs w:val="20"/>
      </w:rPr>
      <w:t xml:space="preserve"> effects on its secular and </w:t>
    </w:r>
    <w:proofErr w:type="spellStart"/>
    <w:r w:rsidRPr="008B0C76">
      <w:rPr>
        <w:sz w:val="20"/>
        <w:szCs w:val="20"/>
      </w:rPr>
      <w:t>seasonaltrends</w:t>
    </w:r>
    <w:proofErr w:type="spellEnd"/>
    <w:r w:rsidRPr="008B0C76">
      <w:rPr>
        <w:sz w:val="20"/>
        <w:szCs w:val="20"/>
      </w:rPr>
      <w:t>. Suicide &amp; Life-Threatening Behavior</w:t>
    </w:r>
    <w:proofErr w:type="gramStart"/>
    <w:r w:rsidRPr="008B0C76">
      <w:rPr>
        <w:sz w:val="20"/>
        <w:szCs w:val="20"/>
      </w:rPr>
      <w:t>1987;17:64</w:t>
    </w:r>
    <w:proofErr w:type="gramEnd"/>
    <w:r w:rsidRPr="008B0C76">
      <w:rPr>
        <w:sz w:val="20"/>
        <w:szCs w:val="20"/>
      </w:rPr>
      <w:t>-71</w:t>
    </w:r>
  </w:p>
  <w:p w14:paraId="4D7D7D0F" w14:textId="715B4867" w:rsidR="002C0D77" w:rsidRPr="008B0C76" w:rsidRDefault="002C0D77" w:rsidP="002C0D77">
    <w:pPr>
      <w:pStyle w:val="Footer"/>
      <w:numPr>
        <w:ilvl w:val="0"/>
        <w:numId w:val="3"/>
      </w:numPr>
      <w:rPr>
        <w:sz w:val="20"/>
        <w:szCs w:val="20"/>
      </w:rPr>
    </w:pPr>
    <w:proofErr w:type="spellStart"/>
    <w:r w:rsidRPr="008B0C76">
      <w:rPr>
        <w:sz w:val="20"/>
        <w:szCs w:val="20"/>
      </w:rPr>
      <w:t>Maes</w:t>
    </w:r>
    <w:proofErr w:type="spellEnd"/>
    <w:r w:rsidRPr="008B0C76">
      <w:rPr>
        <w:sz w:val="20"/>
        <w:szCs w:val="20"/>
      </w:rPr>
      <w:t xml:space="preserve"> M, </w:t>
    </w:r>
    <w:proofErr w:type="spellStart"/>
    <w:r w:rsidRPr="008B0C76">
      <w:rPr>
        <w:sz w:val="20"/>
        <w:szCs w:val="20"/>
      </w:rPr>
      <w:t>Cosyns</w:t>
    </w:r>
    <w:proofErr w:type="spellEnd"/>
    <w:r w:rsidRPr="008B0C76">
      <w:rPr>
        <w:sz w:val="20"/>
        <w:szCs w:val="20"/>
      </w:rPr>
      <w:t xml:space="preserve"> P, Meltzer HY, et </w:t>
    </w:r>
    <w:proofErr w:type="spellStart"/>
    <w:proofErr w:type="gramStart"/>
    <w:r w:rsidRPr="008B0C76">
      <w:rPr>
        <w:sz w:val="20"/>
        <w:szCs w:val="20"/>
      </w:rPr>
      <w:t>al.Seasonality</w:t>
    </w:r>
    <w:proofErr w:type="spellEnd"/>
    <w:proofErr w:type="gramEnd"/>
    <w:r w:rsidRPr="008B0C76">
      <w:rPr>
        <w:sz w:val="20"/>
        <w:szCs w:val="20"/>
      </w:rPr>
      <w:t xml:space="preserve"> in violent suicide but not in </w:t>
    </w:r>
    <w:proofErr w:type="spellStart"/>
    <w:r w:rsidRPr="008B0C76">
      <w:rPr>
        <w:sz w:val="20"/>
        <w:szCs w:val="20"/>
      </w:rPr>
      <w:t>nonvio</w:t>
    </w:r>
    <w:proofErr w:type="spellEnd"/>
    <w:r w:rsidRPr="008B0C76">
      <w:rPr>
        <w:sz w:val="20"/>
        <w:szCs w:val="20"/>
      </w:rPr>
      <w:t>-lent suicide or homicide. Am J Psychiatry</w:t>
    </w:r>
    <w:proofErr w:type="gramStart"/>
    <w:r w:rsidRPr="008B0C76">
      <w:rPr>
        <w:sz w:val="20"/>
        <w:szCs w:val="20"/>
      </w:rPr>
      <w:t>1993;150:1380</w:t>
    </w:r>
    <w:proofErr w:type="gramEnd"/>
    <w:r w:rsidRPr="008B0C76">
      <w:rPr>
        <w:sz w:val="20"/>
        <w:szCs w:val="20"/>
      </w:rPr>
      <w:t>-85</w:t>
    </w:r>
  </w:p>
  <w:p w14:paraId="55F59239" w14:textId="20FC7916" w:rsidR="002C0D77" w:rsidRPr="008B0C76" w:rsidRDefault="002C0D77" w:rsidP="002C0D77">
    <w:pPr>
      <w:pStyle w:val="Footer"/>
      <w:numPr>
        <w:ilvl w:val="0"/>
        <w:numId w:val="3"/>
      </w:numPr>
      <w:rPr>
        <w:sz w:val="20"/>
        <w:szCs w:val="20"/>
      </w:rPr>
    </w:pPr>
    <w:proofErr w:type="spellStart"/>
    <w:r w:rsidRPr="008B0C76">
      <w:rPr>
        <w:sz w:val="20"/>
        <w:szCs w:val="20"/>
      </w:rPr>
      <w:t>Kok</w:t>
    </w:r>
    <w:proofErr w:type="spellEnd"/>
    <w:r w:rsidRPr="008B0C76">
      <w:rPr>
        <w:sz w:val="20"/>
        <w:szCs w:val="20"/>
      </w:rPr>
      <w:t xml:space="preserve"> LP, Tsoi WF. Season, climate and suicide </w:t>
    </w:r>
    <w:proofErr w:type="spellStart"/>
    <w:r w:rsidRPr="008B0C76">
      <w:rPr>
        <w:sz w:val="20"/>
        <w:szCs w:val="20"/>
      </w:rPr>
      <w:t>inSingapore</w:t>
    </w:r>
    <w:proofErr w:type="spellEnd"/>
    <w:r w:rsidRPr="008B0C76">
      <w:rPr>
        <w:sz w:val="20"/>
        <w:szCs w:val="20"/>
      </w:rPr>
      <w:t>.  Medicine, Science &amp; the Law1993;33:247-52</w:t>
    </w:r>
  </w:p>
  <w:p w14:paraId="10BE0375" w14:textId="269F1F64" w:rsidR="002C0D77" w:rsidRPr="008B0C76" w:rsidRDefault="002C0D77" w:rsidP="002C0D77">
    <w:pPr>
      <w:pStyle w:val="Footer"/>
      <w:numPr>
        <w:ilvl w:val="0"/>
        <w:numId w:val="3"/>
      </w:numPr>
      <w:rPr>
        <w:sz w:val="20"/>
        <w:szCs w:val="20"/>
      </w:rPr>
    </w:pPr>
    <w:r w:rsidRPr="008B0C76">
      <w:rPr>
        <w:sz w:val="20"/>
        <w:szCs w:val="20"/>
      </w:rPr>
      <w:t xml:space="preserve">Kevan SM. Perspectives on season of suicide: </w:t>
    </w:r>
    <w:proofErr w:type="spellStart"/>
    <w:r w:rsidRPr="008B0C76">
      <w:rPr>
        <w:sz w:val="20"/>
        <w:szCs w:val="20"/>
      </w:rPr>
      <w:t>Areview</w:t>
    </w:r>
    <w:proofErr w:type="spellEnd"/>
    <w:r w:rsidRPr="008B0C76">
      <w:rPr>
        <w:sz w:val="20"/>
        <w:szCs w:val="20"/>
      </w:rPr>
      <w:t>. Soc Sci Med 1980;14D:369-78</w:t>
    </w:r>
  </w:p>
  <w:p w14:paraId="1F66AD3F" w14:textId="77777777" w:rsidR="002C0D77" w:rsidRPr="008B0C76" w:rsidRDefault="002C0D77">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A3EE0" w14:textId="77777777" w:rsidR="006B4A7A" w:rsidRDefault="006B4A7A">
      <w:r>
        <w:separator/>
      </w:r>
    </w:p>
  </w:footnote>
  <w:footnote w:type="continuationSeparator" w:id="0">
    <w:p w14:paraId="34BC49A9" w14:textId="77777777" w:rsidR="006B4A7A" w:rsidRDefault="006B4A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1A2FD" w14:textId="77777777" w:rsidR="007E0AA5" w:rsidRDefault="007E0AA5" w:rsidP="00B9310E">
    <w:pPr>
      <w:pStyle w:val="Header"/>
      <w:jc w:val="center"/>
      <w:rPr>
        <w:rStyle w:val="PageNumber"/>
      </w:rPr>
    </w:pPr>
    <w:r>
      <w:rPr>
        <w:rStyle w:val="PageNumber"/>
      </w:rPr>
      <w:t xml:space="preserve">- </w:t>
    </w:r>
    <w:r>
      <w:rPr>
        <w:rStyle w:val="PageNumber"/>
      </w:rPr>
      <w:fldChar w:fldCharType="begin"/>
    </w:r>
    <w:r>
      <w:rPr>
        <w:rStyle w:val="PageNumber"/>
      </w:rPr>
      <w:instrText xml:space="preserve"> PAGE  \* MERGEFORMAT </w:instrText>
    </w:r>
    <w:r>
      <w:rPr>
        <w:rStyle w:val="PageNumber"/>
      </w:rPr>
      <w:fldChar w:fldCharType="separate"/>
    </w:r>
    <w:r w:rsidR="00E337ED">
      <w:rPr>
        <w:rStyle w:val="PageNumber"/>
        <w:noProof/>
      </w:rPr>
      <w:t>3</w:t>
    </w:r>
    <w:r>
      <w:rPr>
        <w:rStyle w:val="PageNumber"/>
      </w:rPr>
      <w:fldChar w:fldCharType="end"/>
    </w:r>
    <w:r>
      <w:rPr>
        <w:rStyle w:val="PageNumbe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BF6098"/>
    <w:multiLevelType w:val="hybridMultilevel"/>
    <w:tmpl w:val="D5442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8839F2"/>
    <w:multiLevelType w:val="singleLevel"/>
    <w:tmpl w:val="A2BA2128"/>
    <w:name w:val="BulletB"/>
    <w:lvl w:ilvl="0">
      <w:start w:val="1"/>
      <w:numFmt w:val="bullet"/>
      <w:pStyle w:val="GOBulletlist2"/>
      <w:lvlText w:val=""/>
      <w:lvlJc w:val="left"/>
      <w:pPr>
        <w:tabs>
          <w:tab w:val="num" w:pos="720"/>
        </w:tabs>
        <w:ind w:left="720" w:hanging="360"/>
      </w:pPr>
      <w:rPr>
        <w:rFonts w:ascii="Wingdings" w:hAnsi="Wingdings" w:hint="default"/>
      </w:rPr>
    </w:lvl>
  </w:abstractNum>
  <w:abstractNum w:abstractNumId="2" w15:restartNumberingAfterBreak="0">
    <w:nsid w:val="74CD2789"/>
    <w:multiLevelType w:val="singleLevel"/>
    <w:tmpl w:val="F59AB00C"/>
    <w:name w:val="BulletA"/>
    <w:lvl w:ilvl="0">
      <w:start w:val="1"/>
      <w:numFmt w:val="bullet"/>
      <w:pStyle w:val="GOBulletlist1"/>
      <w:lvlText w:val=""/>
      <w:lvlJc w:val="left"/>
      <w:pPr>
        <w:tabs>
          <w:tab w:val="num" w:pos="360"/>
        </w:tabs>
        <w:ind w:left="360" w:hanging="360"/>
      </w:pPr>
      <w:rPr>
        <w:rFonts w:ascii="Symbol" w:hAnsi="Symbol" w:hint="default"/>
        <w:b w:val="0"/>
        <w:i w:val="0"/>
        <w:sz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5" w:nlCheck="1" w:checkStyle="1"/>
  <w:activeWritingStyle w:appName="MSWord" w:lang="en-CA" w:vendorID="64" w:dllVersion="6" w:nlCheck="1" w:checkStyle="1"/>
  <w:activeWritingStyle w:appName="MSWord" w:lang="es-ES" w:vendorID="64" w:dllVersion="0" w:nlCheck="1" w:checkStyle="0"/>
  <w:activeWritingStyle w:appName="MSWord" w:lang="en-CA"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PaperType" w:val="plain"/>
  </w:docVars>
  <w:rsids>
    <w:rsidRoot w:val="00A5612F"/>
    <w:rsid w:val="00001C20"/>
    <w:rsid w:val="00003003"/>
    <w:rsid w:val="00004B6C"/>
    <w:rsid w:val="000228CC"/>
    <w:rsid w:val="000262D9"/>
    <w:rsid w:val="00061FD7"/>
    <w:rsid w:val="00074327"/>
    <w:rsid w:val="000750EA"/>
    <w:rsid w:val="0009242F"/>
    <w:rsid w:val="000A1471"/>
    <w:rsid w:val="00107A24"/>
    <w:rsid w:val="00121C3D"/>
    <w:rsid w:val="001856AB"/>
    <w:rsid w:val="001D02EB"/>
    <w:rsid w:val="001E23F9"/>
    <w:rsid w:val="001E5CBE"/>
    <w:rsid w:val="00236ACA"/>
    <w:rsid w:val="002558DF"/>
    <w:rsid w:val="002714A1"/>
    <w:rsid w:val="00275B7B"/>
    <w:rsid w:val="002C0D77"/>
    <w:rsid w:val="002E02D9"/>
    <w:rsid w:val="0030258A"/>
    <w:rsid w:val="0033305C"/>
    <w:rsid w:val="003825E8"/>
    <w:rsid w:val="003938F0"/>
    <w:rsid w:val="004C00C4"/>
    <w:rsid w:val="004E57D7"/>
    <w:rsid w:val="004F13F4"/>
    <w:rsid w:val="0051630D"/>
    <w:rsid w:val="00573DD7"/>
    <w:rsid w:val="005808CD"/>
    <w:rsid w:val="005962BB"/>
    <w:rsid w:val="005E3E94"/>
    <w:rsid w:val="00640F51"/>
    <w:rsid w:val="006453AE"/>
    <w:rsid w:val="006638DE"/>
    <w:rsid w:val="00673B85"/>
    <w:rsid w:val="006B02E0"/>
    <w:rsid w:val="006B4A7A"/>
    <w:rsid w:val="006B6740"/>
    <w:rsid w:val="00727FAF"/>
    <w:rsid w:val="0074778E"/>
    <w:rsid w:val="00756A97"/>
    <w:rsid w:val="00794FC3"/>
    <w:rsid w:val="007D0D9C"/>
    <w:rsid w:val="007E0AA5"/>
    <w:rsid w:val="007F6FE9"/>
    <w:rsid w:val="00885851"/>
    <w:rsid w:val="00891984"/>
    <w:rsid w:val="008B0C76"/>
    <w:rsid w:val="008B46E2"/>
    <w:rsid w:val="008E2C47"/>
    <w:rsid w:val="008E3847"/>
    <w:rsid w:val="008E3912"/>
    <w:rsid w:val="008F39C2"/>
    <w:rsid w:val="009877CE"/>
    <w:rsid w:val="009C024F"/>
    <w:rsid w:val="00A04598"/>
    <w:rsid w:val="00A171B1"/>
    <w:rsid w:val="00A5612F"/>
    <w:rsid w:val="00A862D2"/>
    <w:rsid w:val="00AA6B85"/>
    <w:rsid w:val="00AB31A2"/>
    <w:rsid w:val="00AD6847"/>
    <w:rsid w:val="00AE116C"/>
    <w:rsid w:val="00AF5586"/>
    <w:rsid w:val="00B15F4D"/>
    <w:rsid w:val="00B32ECA"/>
    <w:rsid w:val="00B43156"/>
    <w:rsid w:val="00B64C3B"/>
    <w:rsid w:val="00B9310E"/>
    <w:rsid w:val="00C004DF"/>
    <w:rsid w:val="00C40DD4"/>
    <w:rsid w:val="00CB727F"/>
    <w:rsid w:val="00CD6DA5"/>
    <w:rsid w:val="00D54B28"/>
    <w:rsid w:val="00DF294F"/>
    <w:rsid w:val="00DF2BA8"/>
    <w:rsid w:val="00E0232E"/>
    <w:rsid w:val="00E163F2"/>
    <w:rsid w:val="00E318A9"/>
    <w:rsid w:val="00E337ED"/>
    <w:rsid w:val="00E512AF"/>
    <w:rsid w:val="00EC2DC8"/>
    <w:rsid w:val="00EC3791"/>
    <w:rsid w:val="00EE0230"/>
    <w:rsid w:val="00EE5BF5"/>
    <w:rsid w:val="00F11913"/>
    <w:rsid w:val="00F3459B"/>
    <w:rsid w:val="00F50CB4"/>
    <w:rsid w:val="00F82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69ABF"/>
  <w15:docId w15:val="{1C5F9339-B4A5-4D7A-9D06-4DE63CBA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9310E"/>
    <w:pPr>
      <w:spacing w:after="240"/>
    </w:pPr>
    <w:rPr>
      <w:sz w:val="24"/>
      <w:szCs w:val="24"/>
      <w:lang w:eastAsia="en-US"/>
    </w:rPr>
  </w:style>
  <w:style w:type="paragraph" w:styleId="Heading1">
    <w:name w:val="heading 1"/>
    <w:basedOn w:val="Normal"/>
    <w:next w:val="Normal"/>
    <w:qFormat/>
    <w:rsid w:val="00B9310E"/>
    <w:pPr>
      <w:keepNext/>
      <w:keepLines/>
      <w:spacing w:before="60"/>
      <w:outlineLvl w:val="0"/>
    </w:pPr>
    <w:rPr>
      <w:rFonts w:cs="Arial"/>
      <w:b/>
      <w:bCs/>
      <w:kern w:val="28"/>
      <w:szCs w:val="32"/>
    </w:rPr>
  </w:style>
  <w:style w:type="paragraph" w:styleId="Heading2">
    <w:name w:val="heading 2"/>
    <w:basedOn w:val="Normal"/>
    <w:next w:val="Normal"/>
    <w:qFormat/>
    <w:rsid w:val="00B9310E"/>
    <w:pPr>
      <w:keepNext/>
      <w:keepLines/>
      <w:spacing w:before="160" w:after="120"/>
      <w:outlineLvl w:val="1"/>
    </w:pPr>
    <w:rPr>
      <w:rFonts w:ascii="Arial" w:hAnsi="Arial" w:cs="Arial"/>
      <w:b/>
      <w:bCs/>
      <w:i/>
      <w:iCs/>
      <w:sz w:val="28"/>
      <w:szCs w:val="28"/>
    </w:rPr>
  </w:style>
  <w:style w:type="paragraph" w:styleId="Heading3">
    <w:name w:val="heading 3"/>
    <w:basedOn w:val="Normal"/>
    <w:next w:val="Normal"/>
    <w:qFormat/>
    <w:rsid w:val="00B9310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310E"/>
    <w:pPr>
      <w:tabs>
        <w:tab w:val="center" w:pos="4680"/>
        <w:tab w:val="right" w:pos="9360"/>
      </w:tabs>
    </w:pPr>
  </w:style>
  <w:style w:type="paragraph" w:styleId="Footer">
    <w:name w:val="footer"/>
    <w:basedOn w:val="Normal"/>
    <w:link w:val="FooterChar"/>
    <w:uiPriority w:val="99"/>
    <w:rsid w:val="00B9310E"/>
    <w:pPr>
      <w:tabs>
        <w:tab w:val="center" w:pos="4680"/>
        <w:tab w:val="right" w:pos="9360"/>
      </w:tabs>
      <w:spacing w:after="0"/>
    </w:pPr>
  </w:style>
  <w:style w:type="character" w:styleId="PageNumber">
    <w:name w:val="page number"/>
    <w:basedOn w:val="DefaultParagraphFont"/>
    <w:rsid w:val="00B9310E"/>
  </w:style>
  <w:style w:type="paragraph" w:customStyle="1" w:styleId="GOBulletlist1">
    <w:name w:val="GOBullet list1"/>
    <w:aliases w:val="BL1"/>
    <w:basedOn w:val="Normal"/>
    <w:pPr>
      <w:numPr>
        <w:numId w:val="1"/>
      </w:numPr>
      <w:spacing w:after="120"/>
    </w:pPr>
    <w:rPr>
      <w:szCs w:val="20"/>
    </w:rPr>
  </w:style>
  <w:style w:type="paragraph" w:customStyle="1" w:styleId="Plain">
    <w:name w:val="Plain"/>
    <w:basedOn w:val="Normal"/>
    <w:pPr>
      <w:spacing w:after="0"/>
    </w:pPr>
  </w:style>
  <w:style w:type="character" w:customStyle="1" w:styleId="Prompt">
    <w:name w:val="Prompt"/>
    <w:rPr>
      <w:color w:val="0000FF"/>
    </w:rPr>
  </w:style>
  <w:style w:type="paragraph" w:customStyle="1" w:styleId="GOBlock">
    <w:name w:val="GOBlock"/>
    <w:aliases w:val="B"/>
    <w:basedOn w:val="Normal"/>
    <w:pPr>
      <w:ind w:left="720" w:right="720"/>
    </w:pPr>
    <w:rPr>
      <w:szCs w:val="20"/>
    </w:rPr>
  </w:style>
  <w:style w:type="paragraph" w:customStyle="1" w:styleId="GOBlock1">
    <w:name w:val="GOBlock1"/>
    <w:aliases w:val="B1"/>
    <w:basedOn w:val="Normal"/>
    <w:pPr>
      <w:ind w:left="1440" w:right="1440"/>
    </w:pPr>
    <w:rPr>
      <w:szCs w:val="20"/>
    </w:rPr>
  </w:style>
  <w:style w:type="paragraph" w:customStyle="1" w:styleId="GOCentre">
    <w:name w:val="GOCentre"/>
    <w:aliases w:val="C"/>
    <w:basedOn w:val="Normal"/>
    <w:pPr>
      <w:jc w:val="center"/>
    </w:pPr>
    <w:rPr>
      <w:szCs w:val="20"/>
    </w:rPr>
  </w:style>
  <w:style w:type="paragraph" w:styleId="TOC1">
    <w:name w:val="toc 1"/>
    <w:basedOn w:val="Normal"/>
    <w:next w:val="Normal"/>
    <w:autoRedefine/>
    <w:semiHidden/>
    <w:rsid w:val="00B9310E"/>
    <w:pPr>
      <w:tabs>
        <w:tab w:val="left" w:pos="720"/>
        <w:tab w:val="right" w:leader="dot" w:pos="9360"/>
      </w:tabs>
    </w:pPr>
  </w:style>
  <w:style w:type="paragraph" w:styleId="TOC2">
    <w:name w:val="toc 2"/>
    <w:basedOn w:val="Normal"/>
    <w:next w:val="Normal"/>
    <w:autoRedefine/>
    <w:semiHidden/>
    <w:rsid w:val="00B9310E"/>
    <w:pPr>
      <w:tabs>
        <w:tab w:val="left" w:pos="1440"/>
        <w:tab w:val="right" w:leader="dot" w:pos="9360"/>
      </w:tabs>
      <w:ind w:left="720"/>
    </w:pPr>
  </w:style>
  <w:style w:type="paragraph" w:customStyle="1" w:styleId="GOHanging">
    <w:name w:val="GOHanging"/>
    <w:aliases w:val="H"/>
    <w:basedOn w:val="Normal"/>
    <w:pPr>
      <w:ind w:left="720" w:hanging="720"/>
    </w:pPr>
    <w:rPr>
      <w:szCs w:val="20"/>
    </w:rPr>
  </w:style>
  <w:style w:type="paragraph" w:customStyle="1" w:styleId="GOIndent1">
    <w:name w:val="GOIndent1"/>
    <w:aliases w:val="I1"/>
    <w:basedOn w:val="Normal"/>
    <w:pPr>
      <w:ind w:left="720"/>
    </w:pPr>
    <w:rPr>
      <w:szCs w:val="20"/>
    </w:rPr>
  </w:style>
  <w:style w:type="paragraph" w:customStyle="1" w:styleId="GOIndent2">
    <w:name w:val="GOIndent2"/>
    <w:aliases w:val="I2"/>
    <w:basedOn w:val="Normal"/>
    <w:pPr>
      <w:ind w:left="1440"/>
    </w:pPr>
    <w:rPr>
      <w:szCs w:val="20"/>
    </w:rPr>
  </w:style>
  <w:style w:type="paragraph" w:customStyle="1" w:styleId="GOIndent3">
    <w:name w:val="GOIndent3"/>
    <w:aliases w:val="I3"/>
    <w:basedOn w:val="Normal"/>
    <w:pPr>
      <w:ind w:left="2160"/>
    </w:pPr>
    <w:rPr>
      <w:szCs w:val="20"/>
    </w:rPr>
  </w:style>
  <w:style w:type="paragraph" w:customStyle="1" w:styleId="GOIndent4">
    <w:name w:val="GOIndent4"/>
    <w:aliases w:val="I4"/>
    <w:basedOn w:val="Normal"/>
    <w:pPr>
      <w:ind w:left="2880"/>
    </w:pPr>
    <w:rPr>
      <w:szCs w:val="20"/>
    </w:rPr>
  </w:style>
  <w:style w:type="paragraph" w:customStyle="1" w:styleId="GOIndent5">
    <w:name w:val="GOIndent5"/>
    <w:aliases w:val="I5"/>
    <w:basedOn w:val="Normal"/>
    <w:pPr>
      <w:ind w:left="3600"/>
    </w:pPr>
    <w:rPr>
      <w:szCs w:val="20"/>
    </w:rPr>
  </w:style>
  <w:style w:type="paragraph" w:customStyle="1" w:styleId="GOLeft">
    <w:name w:val="GOLeft"/>
    <w:aliases w:val="L"/>
    <w:basedOn w:val="Normal"/>
    <w:rPr>
      <w:szCs w:val="20"/>
    </w:rPr>
  </w:style>
  <w:style w:type="paragraph" w:customStyle="1" w:styleId="GOMainHeading">
    <w:name w:val="GOMainHeading"/>
    <w:aliases w:val="MH"/>
    <w:basedOn w:val="Normal"/>
    <w:next w:val="Normal"/>
    <w:pPr>
      <w:keepNext/>
      <w:keepLines/>
      <w:spacing w:before="120" w:after="120"/>
      <w:outlineLvl w:val="0"/>
    </w:pPr>
    <w:rPr>
      <w:b/>
      <w:caps/>
      <w:szCs w:val="20"/>
      <w:u w:val="single"/>
    </w:rPr>
  </w:style>
  <w:style w:type="paragraph" w:customStyle="1" w:styleId="GOPlain">
    <w:name w:val="GOPlain"/>
    <w:aliases w:val="P"/>
    <w:basedOn w:val="Normal"/>
    <w:pPr>
      <w:spacing w:after="0"/>
    </w:pPr>
    <w:rPr>
      <w:szCs w:val="20"/>
    </w:rPr>
  </w:style>
  <w:style w:type="paragraph" w:customStyle="1" w:styleId="GOReference">
    <w:name w:val="GOReference"/>
    <w:aliases w:val="Ref"/>
    <w:basedOn w:val="Normal"/>
    <w:rPr>
      <w:b/>
    </w:rPr>
  </w:style>
  <w:style w:type="paragraph" w:customStyle="1" w:styleId="GORight">
    <w:name w:val="GORight"/>
    <w:aliases w:val="R"/>
    <w:basedOn w:val="Normal"/>
    <w:pPr>
      <w:jc w:val="right"/>
    </w:pPr>
    <w:rPr>
      <w:szCs w:val="20"/>
    </w:rPr>
  </w:style>
  <w:style w:type="paragraph" w:customStyle="1" w:styleId="GOSubHeading">
    <w:name w:val="GOSubHeading"/>
    <w:aliases w:val="SH"/>
    <w:basedOn w:val="Normal"/>
    <w:next w:val="Normal"/>
    <w:pPr>
      <w:keepNext/>
      <w:keepLines/>
      <w:spacing w:before="120" w:after="120"/>
      <w:outlineLvl w:val="1"/>
    </w:pPr>
    <w:rPr>
      <w:b/>
      <w:szCs w:val="20"/>
    </w:rPr>
  </w:style>
  <w:style w:type="paragraph" w:customStyle="1" w:styleId="GOSubHeadingNoToc">
    <w:name w:val="GOSubHeadingNoToc"/>
    <w:aliases w:val="SHNT"/>
    <w:basedOn w:val="GOSubHeading"/>
    <w:next w:val="Normal"/>
    <w:pPr>
      <w:outlineLvl w:val="9"/>
    </w:pPr>
  </w:style>
  <w:style w:type="paragraph" w:customStyle="1" w:styleId="GOTab">
    <w:name w:val="GOTab"/>
    <w:aliases w:val="T"/>
    <w:basedOn w:val="Normal"/>
    <w:pPr>
      <w:ind w:firstLine="720"/>
    </w:pPr>
    <w:rPr>
      <w:szCs w:val="20"/>
    </w:rPr>
  </w:style>
  <w:style w:type="paragraph" w:customStyle="1" w:styleId="GOTableHeading">
    <w:name w:val="GOTableHeading"/>
    <w:aliases w:val="TH"/>
    <w:basedOn w:val="Normal"/>
    <w:pPr>
      <w:keepNext/>
      <w:keepLines/>
      <w:spacing w:before="120" w:after="120"/>
      <w:jc w:val="center"/>
    </w:pPr>
    <w:rPr>
      <w:b/>
    </w:rPr>
  </w:style>
  <w:style w:type="paragraph" w:customStyle="1" w:styleId="GOTableText">
    <w:name w:val="GOTableText"/>
    <w:aliases w:val="TT"/>
    <w:basedOn w:val="Normal"/>
    <w:pPr>
      <w:spacing w:before="60" w:after="60"/>
    </w:pPr>
  </w:style>
  <w:style w:type="paragraph" w:customStyle="1" w:styleId="GOBulletlist2">
    <w:name w:val="GOBullet list2"/>
    <w:aliases w:val="BL2"/>
    <w:basedOn w:val="Normal"/>
    <w:pPr>
      <w:numPr>
        <w:numId w:val="2"/>
      </w:numPr>
      <w:spacing w:after="120"/>
    </w:pPr>
  </w:style>
  <w:style w:type="paragraph" w:styleId="BalloonText">
    <w:name w:val="Balloon Text"/>
    <w:basedOn w:val="Normal"/>
    <w:link w:val="BalloonTextChar"/>
    <w:rsid w:val="00A171B1"/>
    <w:pPr>
      <w:spacing w:after="0"/>
    </w:pPr>
    <w:rPr>
      <w:rFonts w:ascii="Tahoma" w:hAnsi="Tahoma" w:cs="Tahoma"/>
      <w:sz w:val="16"/>
      <w:szCs w:val="16"/>
    </w:rPr>
  </w:style>
  <w:style w:type="character" w:customStyle="1" w:styleId="BalloonTextChar">
    <w:name w:val="Balloon Text Char"/>
    <w:basedOn w:val="DefaultParagraphFont"/>
    <w:link w:val="BalloonText"/>
    <w:rsid w:val="00A171B1"/>
    <w:rPr>
      <w:rFonts w:ascii="Tahoma" w:hAnsi="Tahoma" w:cs="Tahoma"/>
      <w:sz w:val="16"/>
      <w:szCs w:val="16"/>
      <w:lang w:eastAsia="en-US"/>
    </w:rPr>
  </w:style>
  <w:style w:type="character" w:styleId="Hyperlink">
    <w:name w:val="Hyperlink"/>
    <w:basedOn w:val="DefaultParagraphFont"/>
    <w:uiPriority w:val="99"/>
    <w:unhideWhenUsed/>
    <w:rsid w:val="004F13F4"/>
    <w:rPr>
      <w:color w:val="0000FF"/>
      <w:u w:val="single"/>
    </w:rPr>
  </w:style>
  <w:style w:type="character" w:customStyle="1" w:styleId="FooterChar">
    <w:name w:val="Footer Char"/>
    <w:basedOn w:val="DefaultParagraphFont"/>
    <w:link w:val="Footer"/>
    <w:uiPriority w:val="99"/>
    <w:rsid w:val="002C0D77"/>
    <w:rPr>
      <w:sz w:val="24"/>
      <w:szCs w:val="24"/>
      <w:lang w:eastAsia="en-US"/>
    </w:rPr>
  </w:style>
  <w:style w:type="character" w:styleId="UnresolvedMention">
    <w:name w:val="Unresolved Mention"/>
    <w:basedOn w:val="DefaultParagraphFont"/>
    <w:uiPriority w:val="99"/>
    <w:semiHidden/>
    <w:unhideWhenUsed/>
    <w:rsid w:val="00E31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45766">
      <w:bodyDiv w:val="1"/>
      <w:marLeft w:val="0"/>
      <w:marRight w:val="0"/>
      <w:marTop w:val="0"/>
      <w:marBottom w:val="0"/>
      <w:divBdr>
        <w:top w:val="none" w:sz="0" w:space="0" w:color="auto"/>
        <w:left w:val="none" w:sz="0" w:space="0" w:color="auto"/>
        <w:bottom w:val="none" w:sz="0" w:space="0" w:color="auto"/>
        <w:right w:val="none" w:sz="0" w:space="0" w:color="auto"/>
      </w:divBdr>
    </w:div>
    <w:div w:id="421924159">
      <w:bodyDiv w:val="1"/>
      <w:marLeft w:val="0"/>
      <w:marRight w:val="0"/>
      <w:marTop w:val="0"/>
      <w:marBottom w:val="0"/>
      <w:divBdr>
        <w:top w:val="none" w:sz="0" w:space="0" w:color="auto"/>
        <w:left w:val="none" w:sz="0" w:space="0" w:color="auto"/>
        <w:bottom w:val="none" w:sz="0" w:space="0" w:color="auto"/>
        <w:right w:val="none" w:sz="0" w:space="0" w:color="auto"/>
      </w:divBdr>
    </w:div>
    <w:div w:id="439422988">
      <w:bodyDiv w:val="1"/>
      <w:marLeft w:val="0"/>
      <w:marRight w:val="0"/>
      <w:marTop w:val="0"/>
      <w:marBottom w:val="0"/>
      <w:divBdr>
        <w:top w:val="none" w:sz="0" w:space="0" w:color="auto"/>
        <w:left w:val="none" w:sz="0" w:space="0" w:color="auto"/>
        <w:bottom w:val="none" w:sz="0" w:space="0" w:color="auto"/>
        <w:right w:val="none" w:sz="0" w:space="0" w:color="auto"/>
      </w:divBdr>
    </w:div>
    <w:div w:id="1708138501">
      <w:bodyDiv w:val="1"/>
      <w:marLeft w:val="0"/>
      <w:marRight w:val="0"/>
      <w:marTop w:val="0"/>
      <w:marBottom w:val="0"/>
      <w:divBdr>
        <w:top w:val="none" w:sz="0" w:space="0" w:color="auto"/>
        <w:left w:val="none" w:sz="0" w:space="0" w:color="auto"/>
        <w:bottom w:val="none" w:sz="0" w:space="0" w:color="auto"/>
        <w:right w:val="none" w:sz="0" w:space="0" w:color="auto"/>
      </w:divBdr>
    </w:div>
    <w:div w:id="1902864949">
      <w:bodyDiv w:val="1"/>
      <w:marLeft w:val="0"/>
      <w:marRight w:val="0"/>
      <w:marTop w:val="0"/>
      <w:marBottom w:val="0"/>
      <w:divBdr>
        <w:top w:val="none" w:sz="0" w:space="0" w:color="auto"/>
        <w:left w:val="none" w:sz="0" w:space="0" w:color="auto"/>
        <w:bottom w:val="none" w:sz="0" w:space="0" w:color="auto"/>
        <w:right w:val="none" w:sz="0" w:space="0" w:color="auto"/>
      </w:divBdr>
      <w:divsChild>
        <w:div w:id="845287525">
          <w:marLeft w:val="0"/>
          <w:marRight w:val="0"/>
          <w:marTop w:val="0"/>
          <w:marBottom w:val="0"/>
          <w:divBdr>
            <w:top w:val="none" w:sz="0" w:space="0" w:color="auto"/>
            <w:left w:val="none" w:sz="0" w:space="0" w:color="auto"/>
            <w:bottom w:val="none" w:sz="0" w:space="0" w:color="auto"/>
            <w:right w:val="none" w:sz="0" w:space="0" w:color="auto"/>
          </w:divBdr>
          <w:divsChild>
            <w:div w:id="1222131674">
              <w:marLeft w:val="0"/>
              <w:marRight w:val="0"/>
              <w:marTop w:val="0"/>
              <w:marBottom w:val="0"/>
              <w:divBdr>
                <w:top w:val="none" w:sz="0" w:space="0" w:color="auto"/>
                <w:left w:val="none" w:sz="0" w:space="0" w:color="auto"/>
                <w:bottom w:val="none" w:sz="0" w:space="0" w:color="auto"/>
                <w:right w:val="none" w:sz="0" w:space="0" w:color="auto"/>
              </w:divBdr>
              <w:divsChild>
                <w:div w:id="118694893">
                  <w:marLeft w:val="0"/>
                  <w:marRight w:val="0"/>
                  <w:marTop w:val="0"/>
                  <w:marBottom w:val="0"/>
                  <w:divBdr>
                    <w:top w:val="none" w:sz="0" w:space="0" w:color="auto"/>
                    <w:left w:val="none" w:sz="0" w:space="0" w:color="auto"/>
                    <w:bottom w:val="none" w:sz="0" w:space="0" w:color="auto"/>
                    <w:right w:val="none" w:sz="0" w:space="0" w:color="auto"/>
                  </w:divBdr>
                  <w:divsChild>
                    <w:div w:id="416439259">
                      <w:marLeft w:val="0"/>
                      <w:marRight w:val="0"/>
                      <w:marTop w:val="0"/>
                      <w:marBottom w:val="0"/>
                      <w:divBdr>
                        <w:top w:val="none" w:sz="0" w:space="0" w:color="auto"/>
                        <w:left w:val="none" w:sz="0" w:space="0" w:color="auto"/>
                        <w:bottom w:val="none" w:sz="0" w:space="0" w:color="auto"/>
                        <w:right w:val="none" w:sz="0" w:space="0" w:color="auto"/>
                      </w:divBdr>
                      <w:divsChild>
                        <w:div w:id="995453066">
                          <w:marLeft w:val="0"/>
                          <w:marRight w:val="0"/>
                          <w:marTop w:val="0"/>
                          <w:marBottom w:val="0"/>
                          <w:divBdr>
                            <w:top w:val="none" w:sz="0" w:space="0" w:color="auto"/>
                            <w:left w:val="none" w:sz="0" w:space="0" w:color="auto"/>
                            <w:bottom w:val="none" w:sz="0" w:space="0" w:color="auto"/>
                            <w:right w:val="none" w:sz="0" w:space="0" w:color="auto"/>
                          </w:divBdr>
                          <w:divsChild>
                            <w:div w:id="61756760">
                              <w:marLeft w:val="0"/>
                              <w:marRight w:val="0"/>
                              <w:marTop w:val="0"/>
                              <w:marBottom w:val="0"/>
                              <w:divBdr>
                                <w:top w:val="single" w:sz="6" w:space="4" w:color="auto"/>
                                <w:left w:val="single" w:sz="6" w:space="4" w:color="auto"/>
                                <w:bottom w:val="single" w:sz="6" w:space="4" w:color="auto"/>
                                <w:right w:val="single" w:sz="6" w:space="4" w:color="auto"/>
                              </w:divBdr>
                              <w:divsChild>
                                <w:div w:id="465002730">
                                  <w:marLeft w:val="0"/>
                                  <w:marRight w:val="0"/>
                                  <w:marTop w:val="0"/>
                                  <w:marBottom w:val="0"/>
                                  <w:divBdr>
                                    <w:top w:val="none" w:sz="0" w:space="0" w:color="auto"/>
                                    <w:left w:val="none" w:sz="0" w:space="0" w:color="auto"/>
                                    <w:bottom w:val="none" w:sz="0" w:space="0" w:color="auto"/>
                                    <w:right w:val="none" w:sz="0" w:space="0" w:color="auto"/>
                                  </w:divBdr>
                                  <w:divsChild>
                                    <w:div w:id="740905677">
                                      <w:marLeft w:val="0"/>
                                      <w:marRight w:val="0"/>
                                      <w:marTop w:val="0"/>
                                      <w:marBottom w:val="0"/>
                                      <w:divBdr>
                                        <w:top w:val="none" w:sz="0" w:space="0" w:color="auto"/>
                                        <w:left w:val="none" w:sz="0" w:space="0" w:color="auto"/>
                                        <w:bottom w:val="none" w:sz="0" w:space="0" w:color="auto"/>
                                        <w:right w:val="none" w:sz="0" w:space="0" w:color="auto"/>
                                      </w:divBdr>
                                      <w:divsChild>
                                        <w:div w:id="1670596404">
                                          <w:marLeft w:val="0"/>
                                          <w:marRight w:val="0"/>
                                          <w:marTop w:val="0"/>
                                          <w:marBottom w:val="0"/>
                                          <w:divBdr>
                                            <w:top w:val="none" w:sz="0" w:space="0" w:color="auto"/>
                                            <w:left w:val="none" w:sz="0" w:space="0" w:color="auto"/>
                                            <w:bottom w:val="none" w:sz="0" w:space="0" w:color="auto"/>
                                            <w:right w:val="none" w:sz="0" w:space="0" w:color="auto"/>
                                          </w:divBdr>
                                          <w:divsChild>
                                            <w:div w:id="55394011">
                                              <w:marLeft w:val="0"/>
                                              <w:marRight w:val="0"/>
                                              <w:marTop w:val="0"/>
                                              <w:marBottom w:val="0"/>
                                              <w:divBdr>
                                                <w:top w:val="none" w:sz="0" w:space="0" w:color="auto"/>
                                                <w:left w:val="none" w:sz="0" w:space="0" w:color="auto"/>
                                                <w:bottom w:val="none" w:sz="0" w:space="0" w:color="auto"/>
                                                <w:right w:val="none" w:sz="0" w:space="0" w:color="auto"/>
                                              </w:divBdr>
                                              <w:divsChild>
                                                <w:div w:id="702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dc.noaa.gov/data-access/land-based-station-data/land-based-datasets/global-historical-climatology-network-ghc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infoware\templates\4105\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blank.dotm</Template>
  <TotalTime>263</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Blank Template</vt:lpstr>
    </vt:vector>
  </TitlesOfParts>
  <Company>GO Transit</Company>
  <LinksUpToDate>false</LinksUpToDate>
  <CharactersWithSpaces>3026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Template</dc:title>
  <dc:creator>Daniel_Romney@otpp.com</dc:creator>
  <dc:description>v1.00</dc:description>
  <cp:lastModifiedBy>Daniel Romney</cp:lastModifiedBy>
  <cp:revision>20</cp:revision>
  <dcterms:created xsi:type="dcterms:W3CDTF">2020-04-06T23:41:00Z</dcterms:created>
  <dcterms:modified xsi:type="dcterms:W3CDTF">2020-04-09T20:46:00Z</dcterms:modified>
</cp:coreProperties>
</file>