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2.svg" ContentType="image/svg"/>
  <Override PartName="/word/media/image4.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28"/>
          <w:szCs w:val="28"/>
        </w:rPr>
      </w:pPr>
      <w:r>
        <w:rPr>
          <w:b w:val="false"/>
          <w:bCs w:val="false"/>
          <w:sz w:val="28"/>
          <w:szCs w:val="28"/>
        </w:rPr>
        <w:t>Aplikacja</w:t>
      </w:r>
      <w:r>
        <w:rPr>
          <w:b/>
          <w:bCs/>
          <w:sz w:val="28"/>
          <w:szCs w:val="28"/>
        </w:rPr>
        <w:t xml:space="preserve"> Analiza Zapożyczeń</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 xml:space="preserve">- </w:t>
      </w:r>
      <w:r>
        <w:rPr>
          <w:b w:val="false"/>
          <w:bCs w:val="false"/>
          <w:sz w:val="28"/>
          <w:szCs w:val="28"/>
        </w:rPr>
        <w:t>opiera się na badaniu semantycznego podobieństwa fragmentów tekstu oraz analizie przeprowadzanej przez modele językowe z rodziny Gemini</w:t>
      </w:r>
    </w:p>
    <w:p>
      <w:pPr>
        <w:pStyle w:val="Normal"/>
        <w:bidi w:val="0"/>
        <w:jc w:val="start"/>
        <w:rPr>
          <w:b w:val="false"/>
          <w:bCs w:val="false"/>
          <w:sz w:val="28"/>
          <w:szCs w:val="28"/>
        </w:rPr>
      </w:pPr>
      <w:r>
        <w:rPr>
          <w:b w:val="false"/>
          <w:bCs w:val="false"/>
          <w:sz w:val="28"/>
          <w:szCs w:val="28"/>
        </w:rPr>
        <w:t>- teksty korpusu referencyjnego są dzielone na segmenty w formie okienek tekstowych obejmujących określoną liczbę wyrazów (z zakładkami by sąsiednie segmenty nakładały się), dla tych segmentów obliczane są osadzenia wektorowe (embeddings) za pomocą modelu językowego, zapisujące w postaci liczb znaczenie semantyczne tekstu, dane te zapisywane są w bazie wektorowej ChromaDb</w:t>
      </w:r>
    </w:p>
    <w:p>
      <w:pPr>
        <w:pStyle w:val="Normal"/>
        <w:bidi w:val="0"/>
        <w:jc w:val="start"/>
        <w:rPr>
          <w:b w:val="false"/>
          <w:bCs w:val="false"/>
          <w:sz w:val="28"/>
          <w:szCs w:val="28"/>
        </w:rPr>
      </w:pPr>
      <w:r>
        <w:rPr>
          <w:b w:val="false"/>
          <w:bCs w:val="false"/>
          <w:sz w:val="28"/>
          <w:szCs w:val="28"/>
        </w:rPr>
        <w:t>- analizowany tekst jest również dzielony na podobne segmenty i również obliczne są dla niego osadzenia wektorowe (embeddings)</w:t>
      </w:r>
    </w:p>
    <w:p>
      <w:pPr>
        <w:pStyle w:val="Normal"/>
        <w:bidi w:val="0"/>
        <w:jc w:val="start"/>
        <w:rPr>
          <w:b w:val="false"/>
          <w:bCs w:val="false"/>
          <w:sz w:val="28"/>
          <w:szCs w:val="28"/>
        </w:rPr>
      </w:pPr>
      <w:r>
        <w:rPr>
          <w:b w:val="false"/>
          <w:bCs w:val="false"/>
          <w:sz w:val="28"/>
          <w:szCs w:val="28"/>
        </w:rPr>
        <w:t>- dla każdego segmentu z analizowanego tekstu w bazie wektorowej wyszukiwane są najbardziej podobne semantycznie fragmenty z tekstów referencyjnych (domyślnie 3)</w:t>
      </w:r>
    </w:p>
    <w:p>
      <w:pPr>
        <w:pStyle w:val="Normal"/>
        <w:bidi w:val="0"/>
        <w:jc w:val="start"/>
        <w:rPr>
          <w:b w:val="false"/>
          <w:bCs w:val="false"/>
          <w:sz w:val="28"/>
          <w:szCs w:val="28"/>
        </w:rPr>
      </w:pPr>
      <w:r>
        <w:rPr>
          <w:b w:val="false"/>
          <w:bCs w:val="false"/>
          <w:sz w:val="28"/>
          <w:szCs w:val="28"/>
        </w:rPr>
        <w:t>-  model językowy otrzymuje badany fragment tekstu oraz wyszukany potencjalnie podobny fragment z tekstu referencjnego, prompt z instrukcjami jak ma analizować podobieństwo, oraz oczekiwaną strukurę wyniku i przeprowadza analizę</w:t>
      </w:r>
    </w:p>
    <w:p>
      <w:pPr>
        <w:pStyle w:val="Normal"/>
        <w:bidi w:val="0"/>
        <w:spacing w:before="0" w:after="283"/>
        <w:jc w:val="start"/>
        <w:rPr>
          <w:b w:val="false"/>
          <w:bCs w:val="false"/>
          <w:sz w:val="28"/>
          <w:szCs w:val="28"/>
        </w:rPr>
      </w:pPr>
      <w:r>
        <w:rPr>
          <w:b w:val="false"/>
          <w:bCs w:val="false"/>
          <w:sz w:val="28"/>
          <w:szCs w:val="28"/>
        </w:rPr>
        <w:t>- struktura wyniku opisana jest klasą z 5 polami:</w:t>
      </w:r>
    </w:p>
    <w:p>
      <w:pPr>
        <w:pStyle w:val="BodyText"/>
        <w:bidi w:val="0"/>
        <w:jc w:val="start"/>
        <w:rPr>
          <w:rFonts w:ascii="Liberation Mono" w:hAnsi="Liberation Mono"/>
          <w:sz w:val="20"/>
          <w:szCs w:val="20"/>
        </w:rPr>
      </w:pPr>
      <w:r>
        <w:rPr>
          <w:rFonts w:ascii="Liberation Mono" w:hAnsi="Liberation Mono"/>
          <w:sz w:val="20"/>
          <w:szCs w:val="20"/>
        </w:rPr>
        <w:t xml:space="preserve">class </w:t>
      </w:r>
      <w:r>
        <w:rPr>
          <w:rFonts w:ascii="Liberation Mono" w:hAnsi="Liberation Mono"/>
          <w:b/>
          <w:bCs/>
          <w:sz w:val="20"/>
          <w:szCs w:val="20"/>
        </w:rPr>
        <w:t>BorrowingAnalysis</w:t>
      </w:r>
      <w:r>
        <w:rPr>
          <w:rFonts w:ascii="Liberation Mono" w:hAnsi="Liberation Mono"/>
          <w:sz w:val="20"/>
          <w:szCs w:val="20"/>
        </w:rPr>
        <w:t>(BaseModel): </w:t>
        <w:br/>
        <w:tab/>
      </w:r>
      <w:r>
        <w:rPr>
          <w:rFonts w:ascii="Liberation Mono" w:hAnsi="Liberation Mono"/>
          <w:b/>
          <w:bCs/>
          <w:sz w:val="20"/>
          <w:szCs w:val="20"/>
        </w:rPr>
        <w:t>match</w:t>
      </w:r>
      <w:r>
        <w:rPr>
          <w:rFonts w:ascii="Liberation Mono" w:hAnsi="Liberation Mono"/>
          <w:sz w:val="20"/>
          <w:szCs w:val="20"/>
        </w:rPr>
        <w:t>: bool = Field(description="Czy zachodzi relacja zapożyczenia (True dla</w:t>
        <w:br/>
        <w:t xml:space="preserve"> </w:t>
        <w:tab/>
        <w:tab/>
        <w:t>Full, Partial, Paraphrase, Allusion; False dla None)") </w:t>
        <w:br/>
        <w:t xml:space="preserve"> </w:t>
        <w:tab/>
      </w:r>
      <w:r>
        <w:rPr>
          <w:rFonts w:ascii="Liberation Mono" w:hAnsi="Liberation Mono"/>
          <w:b/>
          <w:bCs/>
          <w:sz w:val="20"/>
          <w:szCs w:val="20"/>
        </w:rPr>
        <w:t>type</w:t>
      </w:r>
      <w:r>
        <w:rPr>
          <w:rFonts w:ascii="Liberation Mono" w:hAnsi="Liberation Mono"/>
          <w:sz w:val="20"/>
          <w:szCs w:val="20"/>
        </w:rPr>
        <w:t>: Literal["Full", "Partial", "Paraphrase", "Allusion", "None"] =</w:t>
        <w:br/>
        <w:tab/>
        <w:tab/>
        <w:t xml:space="preserve">Field(description="Typ relacji: 'Full', 'Partial', 'Paraphrase', </w:t>
        <w:br/>
        <w:tab/>
        <w:tab/>
        <w:t>'Allusion' lub 'None'") </w:t>
        <w:br/>
        <w:tab/>
      </w:r>
      <w:r>
        <w:rPr>
          <w:rFonts w:ascii="Liberation Mono" w:hAnsi="Liberation Mono"/>
          <w:b/>
          <w:bCs/>
          <w:sz w:val="20"/>
          <w:szCs w:val="20"/>
        </w:rPr>
        <w:t>explanation</w:t>
      </w:r>
      <w:r>
        <w:rPr>
          <w:rFonts w:ascii="Liberation Mono" w:hAnsi="Liberation Mono"/>
          <w:sz w:val="20"/>
          <w:szCs w:val="20"/>
        </w:rPr>
        <w:t>: str = Field(description="Krótkie uzasadnienie decyzji w języku</w:t>
        <w:br/>
        <w:t xml:space="preserve"> </w:t>
        <w:tab/>
        <w:tab/>
        <w:t>polskim") </w:t>
        <w:br/>
        <w:tab/>
      </w:r>
      <w:r>
        <w:rPr>
          <w:rFonts w:ascii="Liberation Mono" w:hAnsi="Liberation Mono"/>
          <w:b/>
          <w:bCs/>
          <w:sz w:val="20"/>
          <w:szCs w:val="20"/>
        </w:rPr>
        <w:t>borrowed_text_in_source</w:t>
      </w:r>
      <w:r>
        <w:rPr>
          <w:rFonts w:ascii="Liberation Mono" w:hAnsi="Liberation Mono"/>
          <w:sz w:val="20"/>
          <w:szCs w:val="20"/>
        </w:rPr>
        <w:t>: str = Field(description="Dokładny fragment</w:t>
        <w:br/>
        <w:t xml:space="preserve"> </w:t>
        <w:tab/>
        <w:tab/>
        <w:t>(substring) z 'Badanego fragmentu', który jest zapożyczony. Pozostaw</w:t>
        <w:br/>
        <w:t xml:space="preserve"> </w:t>
        <w:tab/>
        <w:tab/>
        <w:t>puste, jeśli brak zapożyczenia.") </w:t>
        <w:br/>
        <w:tab/>
      </w:r>
      <w:r>
        <w:rPr>
          <w:rFonts w:ascii="Liberation Mono" w:hAnsi="Liberation Mono"/>
          <w:b/>
          <w:bCs/>
          <w:sz w:val="20"/>
          <w:szCs w:val="20"/>
        </w:rPr>
        <w:t>borrowed_text_in_corpus</w:t>
      </w:r>
      <w:r>
        <w:rPr>
          <w:rFonts w:ascii="Liberation Mono" w:hAnsi="Liberation Mono"/>
          <w:sz w:val="20"/>
          <w:szCs w:val="20"/>
        </w:rPr>
        <w:t>: str = Field(description="Dokładny fragment</w:t>
        <w:br/>
        <w:t xml:space="preserve"> </w:t>
        <w:tab/>
        <w:tab/>
        <w:t>(substring) z 'Fragmentu referencyjnego', który odpowiada temu</w:t>
        <w:br/>
        <w:t xml:space="preserve"> </w:t>
        <w:tab/>
        <w:tab/>
        <w:t xml:space="preserve">zapożyczeniu. Pozostaw puste, jeśli brak zapożyczenia.") </w:t>
      </w:r>
    </w:p>
    <w:p>
      <w:pPr>
        <w:pStyle w:val="BodyText"/>
        <w:bidi w:val="0"/>
        <w:spacing w:lineRule="auto" w:line="276" w:before="0" w:after="140"/>
        <w:jc w:val="start"/>
        <w:rPr/>
      </w:pPr>
      <w:r>
        <w:rPr/>
      </w:r>
    </w:p>
    <w:p>
      <w:pPr>
        <w:pStyle w:val="Normal"/>
        <w:bidi w:val="0"/>
        <w:jc w:val="start"/>
        <w:rPr>
          <w:b w:val="false"/>
          <w:bCs w:val="false"/>
          <w:sz w:val="28"/>
          <w:szCs w:val="28"/>
        </w:rPr>
      </w:pPr>
      <w:r>
        <w:rPr>
          <w:b w:val="false"/>
          <w:bCs w:val="false"/>
          <w:sz w:val="28"/>
          <w:szCs w:val="28"/>
        </w:rPr>
        <w:t>- jeżeli dla danej pary tekstów wg modelu wystąpiło zapożyczenie, jest to zapisywane w bazie wyników wraz z uzasadnieniem modelu, typem zapożyczenia</w:t>
      </w:r>
    </w:p>
    <w:p>
      <w:pPr>
        <w:pStyle w:val="Normal"/>
        <w:bidi w:val="0"/>
        <w:jc w:val="start"/>
        <w:rPr>
          <w:b w:val="false"/>
          <w:bCs w:val="false"/>
          <w:sz w:val="28"/>
          <w:szCs w:val="28"/>
        </w:rPr>
      </w:pPr>
      <w:r>
        <w:rPr>
          <w:b w:val="false"/>
          <w:bCs w:val="false"/>
          <w:sz w:val="28"/>
          <w:szCs w:val="28"/>
        </w:rPr>
        <w:t xml:space="preserve">- aplikacja wyświetla badany tekst z zaznaczonymi kolorem fragmentami uznanymi za zapożyczenia, osobny kolor dla każdego typu zaznaczenia, kliknięcie na zaznaczeniu wyświetla szczegółowe informacje na temat zapożyczenia: fragment uznany za zapożyczenie, fragment lub fragmenty z tekstu referencyjnego, oraz uzasadnienie modelu </w:t>
      </w:r>
    </w:p>
    <w:p>
      <w:pPr>
        <w:pStyle w:val="Normal"/>
        <w:bidi w:val="0"/>
        <w:jc w:val="start"/>
        <w:rPr>
          <w:b w:val="false"/>
          <w:bCs w:val="false"/>
          <w:sz w:val="28"/>
          <w:szCs w:val="28"/>
        </w:rPr>
      </w:pPr>
      <w:r>
        <w:rPr>
          <w:b w:val="false"/>
          <w:bCs w:val="false"/>
          <w:sz w:val="28"/>
          <w:szCs w:val="28"/>
        </w:rPr>
        <w:t xml:space="preserve">- wyniki analizy tekstu można wyeksportować w formie dokumentu w formacie *.docx w 2 wariantach: badany tekst z zaznaczeniami zapożyczeń i informacjami o nich w formie komentarzy na marginesie, oraz w wariancie będacym listą zapożyczeń (fragment z badanego tekstu, fragment z tekstu referencyjnego, informacje o zapożyczeniu wraz z uzasadnieniem modelu).   </w:t>
      </w:r>
    </w:p>
    <w:p>
      <w:pPr>
        <w:pStyle w:val="Normal"/>
        <w:bidi w:val="0"/>
        <w:jc w:val="start"/>
        <w:rPr>
          <w:b w:val="false"/>
          <w:bCs w:val="false"/>
          <w:sz w:val="28"/>
          <w:szCs w:val="28"/>
        </w:rPr>
      </w:pPr>
      <w:r>
        <w:rPr>
          <w:b w:val="false"/>
          <w:bCs w:val="false"/>
          <w:sz w:val="28"/>
          <w:szCs w:val="28"/>
        </w:rPr>
        <w:t>- analiza wykonywana jest z pomocą modelu Gemini 3.1 Flash – Lite lub Gemini 3.5 Flash, ten drugi jest jednak ok 6x droższy</w:t>
      </w:r>
    </w:p>
    <w:p>
      <w:pPr>
        <w:pStyle w:val="Normal"/>
        <w:bidi w:val="0"/>
        <w:jc w:val="start"/>
        <w:rPr>
          <w:b w:val="false"/>
          <w:bCs w:val="false"/>
          <w:sz w:val="28"/>
          <w:szCs w:val="28"/>
        </w:rPr>
      </w:pPr>
      <w:r>
        <w:rPr>
          <w:b w:val="false"/>
          <w:bCs w:val="false"/>
          <w:sz w:val="28"/>
          <w:szCs w:val="28"/>
        </w:rPr>
        <w:t xml:space="preserve">- </w:t>
      </w:r>
    </w:p>
    <w:p>
      <w:pPr>
        <w:pStyle w:val="Normal"/>
        <w:bidi w:val="0"/>
        <w:jc w:val="start"/>
        <w:rPr>
          <w:b/>
          <w:bCs/>
          <w:sz w:val="28"/>
          <w:szCs w:val="28"/>
        </w:rPr>
      </w:pPr>
      <w:r>
        <w:rPr>
          <w:b/>
          <w:bCs/>
          <w:sz w:val="28"/>
          <w:szCs w:val="28"/>
        </w:rPr>
      </w:r>
    </w:p>
    <w:p>
      <w:pPr>
        <w:pStyle w:val="Normal"/>
        <w:bidi w:val="0"/>
        <w:jc w:val="start"/>
        <w:rPr>
          <w:b/>
          <w:bCs/>
          <w:sz w:val="28"/>
          <w:szCs w:val="28"/>
        </w:rPr>
      </w:pPr>
      <w:r>
        <w:rPr>
          <w:b w:val="false"/>
          <w:bCs w:val="false"/>
          <w:sz w:val="28"/>
          <w:szCs w:val="28"/>
        </w:rPr>
        <w:t>Definicje promptów</w:t>
      </w:r>
      <w:r>
        <w:rPr>
          <w:b/>
          <w:bCs/>
          <w:sz w:val="28"/>
          <w:szCs w:val="28"/>
        </w:rPr>
        <w:t xml:space="preserve"> </w:t>
      </w:r>
      <w:r>
        <w:rPr>
          <w:b w:val="false"/>
          <w:bCs w:val="false"/>
          <w:sz w:val="28"/>
          <w:szCs w:val="28"/>
        </w:rPr>
        <w:t xml:space="preserve">dla modelu </w:t>
      </w:r>
      <w:r>
        <w:rPr>
          <w:b w:val="false"/>
          <w:bCs w:val="false"/>
          <w:sz w:val="28"/>
          <w:szCs w:val="28"/>
        </w:rPr>
        <w:t>LLM</w:t>
      </w:r>
      <w:r>
        <w:rPr>
          <w:b w:val="false"/>
          <w:bCs w:val="false"/>
          <w:sz w:val="28"/>
          <w:szCs w:val="28"/>
        </w:rPr>
        <w:t xml:space="preserve"> porównującego fragmenty tekstów:</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Prompt systemowy</w:t>
      </w:r>
      <w:r>
        <w:rPr>
          <w:b w:val="false"/>
          <w:bCs w:val="false"/>
          <w:sz w:val="28"/>
          <w:szCs w:val="28"/>
        </w:rPr>
        <w:t>:</w:t>
      </w:r>
    </w:p>
    <w:p>
      <w:pPr>
        <w:pStyle w:val="Normal"/>
        <w:bidi w:val="0"/>
        <w:jc w:val="start"/>
        <w:rPr/>
      </w:pPr>
      <w:r>
        <w:rPr/>
      </w:r>
    </w:p>
    <w:p>
      <w:pPr>
        <w:pStyle w:val="Normal"/>
        <w:bidi w:val="0"/>
        <w:jc w:val="start"/>
        <w:rPr/>
      </w:pPr>
      <w:r>
        <w:rPr/>
        <w:t>J</w:t>
      </w:r>
      <w:r>
        <w:rPr>
          <w:rFonts w:ascii="Liberation Mono" w:hAnsi="Liberation Mono"/>
        </w:rPr>
        <w:t xml:space="preserve">esteś ekspertem ds. analizy tekstów i wykrywania podobieństwa, </w:t>
      </w:r>
    </w:p>
    <w:p>
      <w:pPr>
        <w:pStyle w:val="Normal"/>
        <w:bidi w:val="0"/>
        <w:jc w:val="start"/>
        <w:rPr>
          <w:rFonts w:ascii="Liberation Mono" w:hAnsi="Liberation Mono"/>
        </w:rPr>
      </w:pPr>
      <w:r>
        <w:rPr>
          <w:rFonts w:ascii="Liberation Mono" w:hAnsi="Liberation Mono"/>
        </w:rPr>
        <w:t xml:space="preserve">ze szczególnym uwzględnieniem średniowiecznych tekstów łacińskich, kazań, glos i egzegezy. </w:t>
      </w:r>
    </w:p>
    <w:p>
      <w:pPr>
        <w:pStyle w:val="Normal"/>
        <w:bidi w:val="0"/>
        <w:jc w:val="start"/>
        <w:rPr>
          <w:rFonts w:ascii="Liberation Mono" w:hAnsi="Liberation Mono"/>
        </w:rPr>
      </w:pPr>
      <w:r>
        <w:rPr>
          <w:rFonts w:ascii="Liberation Mono" w:hAnsi="Liberation Mono"/>
        </w:rPr>
        <w:t xml:space="preserve">Masz odróżniać zależność tekstową między dwoma przekazami od podobieństwa wynikającego ze wspólnej tradycji. Wspólny cytat biblijny, liturgiczny, patrystyczny, standardowa glosa, thema kazania, incipit lub wspólny autorytet nie są same w sobie dowodem zapożyczenia. </w:t>
      </w:r>
    </w:p>
    <w:p>
      <w:pPr>
        <w:pStyle w:val="Normal"/>
        <w:bidi w:val="0"/>
        <w:jc w:val="start"/>
        <w:rPr>
          <w:rFonts w:ascii="Liberation Mono" w:hAnsi="Liberation Mono"/>
        </w:rPr>
      </w:pPr>
      <w:r>
        <w:rPr>
          <w:rFonts w:ascii="Liberation Mono" w:hAnsi="Liberation Mono"/>
        </w:rPr>
        <w:t xml:space="preserve">Jeżeli podobieństwo ogranicza się do takiego wspólnego źródła, wybierz None. </w:t>
      </w:r>
    </w:p>
    <w:p>
      <w:pPr>
        <w:pStyle w:val="Normal"/>
        <w:bidi w:val="0"/>
        <w:jc w:val="start"/>
        <w:rPr>
          <w:rFonts w:ascii="Liberation Mono" w:hAnsi="Liberation Mono"/>
        </w:rPr>
      </w:pPr>
      <w:r>
        <w:rPr>
          <w:rFonts w:ascii="Liberation Mono" w:hAnsi="Liberation Mono"/>
        </w:rPr>
        <w:t xml:space="preserve">Jeżeli natomiast wokół wspólnego cytatu występuje podobna interpretacja, kolejność wywodu, zestaw motywów, obrazów, autorytetów lub charakterystyczne rozwinięcie egzegetyczne, wolno rozpoznać zapożyczenie. </w:t>
      </w:r>
    </w:p>
    <w:p>
      <w:pPr>
        <w:pStyle w:val="Normal"/>
        <w:bidi w:val="0"/>
        <w:jc w:val="start"/>
        <w:rPr>
          <w:rFonts w:ascii="Liberation Mono" w:hAnsi="Liberation Mono"/>
        </w:rPr>
      </w:pPr>
      <w:r>
        <w:rPr>
          <w:rFonts w:ascii="Liberation Mono" w:hAnsi="Liberation Mono"/>
        </w:rPr>
        <w:t xml:space="preserve">Nie odrzucaj automatycznie podobieństwa tylko dlatego, że jego centrum stanowi werset biblijny: jeśli oba teksty podobnie objaśniają ten werset, używają tego samego autorytetu, rozwiązują ten sam problem interpretacyjny albo prowadzą do tego samego nietrywialnego wniosku teologicznego, uznaj to za możliwy dowód zależności. </w:t>
      </w:r>
    </w:p>
    <w:p>
      <w:pPr>
        <w:pStyle w:val="Normal"/>
        <w:bidi w:val="0"/>
        <w:jc w:val="start"/>
        <w:rPr>
          <w:rFonts w:ascii="Liberation Mono" w:hAnsi="Liberation Mono"/>
        </w:rPr>
      </w:pPr>
      <w:r>
        <w:rPr>
          <w:rFonts w:ascii="Liberation Mono" w:hAnsi="Liberation Mono"/>
        </w:rPr>
        <w:t xml:space="preserve">Dla celów tej aplikacji wykrywaj także przejęcie konkretnej tradycji interpretacyjnej albo glosy; nie ograniczaj zapożyczeń do dosłownego kopiowania słów. </w:t>
      </w:r>
    </w:p>
    <w:p>
      <w:pPr>
        <w:pStyle w:val="Normal"/>
        <w:bidi w:val="0"/>
        <w:jc w:val="start"/>
        <w:rPr>
          <w:rFonts w:ascii="Liberation Mono" w:hAnsi="Liberation Mono"/>
        </w:rPr>
      </w:pPr>
      <w:r>
        <w:rPr>
          <w:rFonts w:ascii="Liberation Mono" w:hAnsi="Liberation Mono"/>
        </w:rPr>
        <w:t>Jeśli wspólny materiał obejmuje ten sam werset, ten sam autorytet, ten sam problem egzegetyczny i podobne rozwiązanie, klasyfikuj raczej jako Paraphrase albo Allusion niż None, o ile podobieństwo nie jest całkowicie ogólne.</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Typy zapożyczeń:</w:t>
      </w:r>
    </w:p>
    <w:p>
      <w:pPr>
        <w:pStyle w:val="Normal"/>
        <w:bidi w:val="0"/>
        <w:jc w:val="start"/>
        <w:rPr>
          <w:rFonts w:ascii="Liberation Mono" w:hAnsi="Liberation Mono"/>
        </w:rPr>
      </w:pPr>
      <w:r>
        <w:rPr>
          <w:rFonts w:ascii="Liberation Mono" w:hAnsi="Liberation Mono"/>
          <w:b/>
          <w:bCs/>
        </w:rPr>
        <w:t>Full</w:t>
      </w:r>
      <w:r>
        <w:rPr>
          <w:rFonts w:ascii="Liberation Mono" w:hAnsi="Liberation Mono"/>
        </w:rPr>
        <w:t>: prawie dosłowne przejęcie charakterystycznego ciągu słów z tekstu referencyjnego, obejmujące materiał bardziej specyficzny niż sam cytat biblijny lub formuła; dopuszczalne są warianty ortograficzne, fleksyjne, skróty oraz błędy OCR/transkrypcji.</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b/>
          <w:bCs/>
        </w:rPr>
        <w:t>Partial</w:t>
      </w:r>
      <w:r>
        <w:rPr>
          <w:rFonts w:ascii="Liberation Mono" w:hAnsi="Liberation Mono"/>
        </w:rPr>
        <w:t>: częściowe przejęcie charakterystycznej frazy, zdania lub mikrostruktury z tekstu referencyjnego; może obejmować wspólny cytat biblijny tylko wtedy, gdy towarzyszy mu dodatkowy wspólny materiał interpretacyjny albo charakterystyczne rozwinięcie.</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b/>
          <w:bCs/>
        </w:rPr>
        <w:t>Paraphrase</w:t>
      </w:r>
      <w:r>
        <w:rPr>
          <w:rFonts w:ascii="Liberation Mono" w:hAnsi="Liberation Mono"/>
        </w:rPr>
        <w:t>: przekształcenie konkretnego fragmentu referencyjnego przy zachowaniu układu argumentu, kolejności motywów, interpretacji lub nietrywialnych szczegółów; podobna egzegeza tego samego wersetu może wystarczyć, zwłaszcza gdy obejmuje ten sam autorytet, problem i konkluzję.</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b/>
          <w:bCs/>
        </w:rPr>
        <w:t>Allusion</w:t>
      </w:r>
      <w:r>
        <w:rPr>
          <w:rFonts w:ascii="Liberation Mono" w:hAnsi="Liberation Mono"/>
        </w:rPr>
        <w:t>: krótkie, punktowe nawiązanie do charakterystycznego sformułowania, obrazu lub interpretacji z tekstu referencyjnego; może być rozpoznane dla krótkiego wspólnego elementu, jeśli towarzyszy mu specyficzny sposób interpretacji, a nie tylko sam cytat biblijny.</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b/>
          <w:bCs/>
        </w:rPr>
        <w:t>None</w:t>
      </w:r>
      <w:r>
        <w:rPr>
          <w:rFonts w:ascii="Liberation Mono" w:hAnsi="Liberation Mono"/>
        </w:rPr>
        <w:t>: brak dowodu zależności tekstowej albo podobieństwo wynikające ze wspólnego źródła, konwencji gatunkowej, krótkiej formuły lub zbyt krótkiej frazy.</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 xml:space="preserve">W uzasadnieniu po polsku wskaż konkretnie, czy podobieństwo przekracza próg wspólnego źródła. </w:t>
      </w:r>
    </w:p>
    <w:p>
      <w:pPr>
        <w:pStyle w:val="Normal"/>
        <w:bidi w:val="0"/>
        <w:jc w:val="start"/>
        <w:rPr>
          <w:rFonts w:ascii="Liberation Mono" w:hAnsi="Liberation Mono"/>
        </w:rPr>
      </w:pPr>
      <w:r>
        <w:rPr>
          <w:rFonts w:ascii="Liberation Mono" w:hAnsi="Liberation Mono"/>
        </w:rPr>
        <w:t>Zwróć odpowiedź wyłącznie w formacie JSON zgodnym ze schematem.</w:t>
      </w:r>
    </w:p>
    <w:p>
      <w:pPr>
        <w:pStyle w:val="Normal"/>
        <w:bidi w:val="0"/>
        <w:jc w:val="start"/>
        <w:rPr/>
      </w:pPr>
      <w:r>
        <w:rPr/>
      </w:r>
    </w:p>
    <w:p>
      <w:pPr>
        <w:pStyle w:val="Normal"/>
        <w:bidi w:val="0"/>
        <w:jc w:val="start"/>
        <w:rPr/>
      </w:pPr>
      <w:r>
        <w:rPr/>
      </w:r>
    </w:p>
    <w:p>
      <w:pPr>
        <w:pStyle w:val="Normal"/>
        <w:bidi w:val="0"/>
        <w:jc w:val="start"/>
        <w:rPr>
          <w:b/>
          <w:bCs/>
          <w:sz w:val="28"/>
          <w:szCs w:val="28"/>
        </w:rPr>
      </w:pPr>
      <w:r>
        <w:rPr>
          <w:b/>
          <w:bCs/>
          <w:sz w:val="28"/>
          <w:szCs w:val="28"/>
        </w:rPr>
        <w:t>Prompt użytkownika z kontekstem w postaci fragmentu z badanego tekstu oraz fragmentu z tekstu referencyjnego:</w:t>
      </w:r>
    </w:p>
    <w:p>
      <w:pPr>
        <w:pStyle w:val="Normal"/>
        <w:bidi w:val="0"/>
        <w:jc w:val="start"/>
        <w:rPr/>
      </w:pPr>
      <w:r>
        <w:rPr/>
      </w:r>
    </w:p>
    <w:p>
      <w:pPr>
        <w:pStyle w:val="Normal"/>
        <w:bidi w:val="0"/>
        <w:jc w:val="start"/>
        <w:rPr>
          <w:rFonts w:ascii="Liberation Mono" w:hAnsi="Liberation Mono"/>
        </w:rPr>
      </w:pPr>
      <w:r>
        <w:rPr>
          <w:rFonts w:ascii="Liberation Mono" w:hAnsi="Liberation Mono"/>
        </w:rPr>
        <w:t>Porównaj poniższy "Badany fragment" z "Fragmentem referencyjnym".</w:t>
      </w:r>
    </w:p>
    <w:p>
      <w:pPr>
        <w:pStyle w:val="Normal"/>
        <w:bidi w:val="0"/>
        <w:jc w:val="start"/>
        <w:rPr>
          <w:rFonts w:ascii="Liberation Mono" w:hAnsi="Liberation Mono"/>
        </w:rPr>
      </w:pPr>
      <w:r>
        <w:rPr>
          <w:rFonts w:ascii="Liberation Mono" w:hAnsi="Liberation Mono"/>
        </w:rPr>
        <w:t>Oba fragmenty są w języku łacińskim. Oceń, czy zachodzi między nimi relacja zapożyczenia tekstowego.</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Zasada nadrzędna:</w:t>
      </w:r>
    </w:p>
    <w:p>
      <w:pPr>
        <w:pStyle w:val="Normal"/>
        <w:bidi w:val="0"/>
        <w:jc w:val="start"/>
        <w:rPr>
          <w:rFonts w:ascii="Liberation Mono" w:hAnsi="Liberation Mono"/>
        </w:rPr>
      </w:pPr>
      <w:r>
        <w:rPr>
          <w:rFonts w:ascii="Liberation Mono" w:hAnsi="Liberation Mono"/>
        </w:rPr>
        <w:t>Nie klasyfikuj jako zapożyczenia podobieństwa opartego wyłącznie na wspólnym źródle kanonicznym, biblijnym, liturgicznym, patrystycznym, standardowej glosie albo typowej strukturze kazania. Sam identyczny cytat biblijny, incipit, thema kazania lub odwołanie do tego samego autorytetu oznacza None.</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Jeżeli jednak oprócz wspólnego cytatu lub tematu występuje podobne rozwinięcie egzegetyczne, analogiczna interpretacja, charakterystyczna kolejność argumentów, podobny zestaw motywów, obrazów, autorytetów lub nietypowych sformułowań, potraktuj to jako możliwe zapożyczenie i sklasyfikuj według najbliższego typu.</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Dla celów tej aplikacji "zapożyczenie" obejmuje także przejęcie konkretnej tradycji interpretacyjnej albo glosy, nawet jeśli nie ma dosłownego kopiowania całego zdania. Jeżeli badany fragment i fragment referencyjny łączą ten sam cytat biblijny z tym samym autorytetem, tym samym problemem egzegetycznym i podobnym rozwiązaniem, nie odrzucaj tego jako samego wspólnego źródła; sklasyfikuj jako Paraphrase albo Allusion, chyba że podobieństwo jest całkowicie ogólne.</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Szczególnie ważne:</w:t>
      </w:r>
    </w:p>
    <w:p>
      <w:pPr>
        <w:pStyle w:val="Normal"/>
        <w:bidi w:val="0"/>
        <w:jc w:val="start"/>
        <w:rPr>
          <w:rFonts w:ascii="Liberation Mono" w:hAnsi="Liberation Mono"/>
        </w:rPr>
      </w:pPr>
      <w:r>
        <w:rPr>
          <w:rFonts w:ascii="Liberation Mono" w:hAnsi="Liberation Mono"/>
        </w:rPr>
        <w:t>- Samo "Surrexit non est hic", "Et valde mane una sabbatorum", "orto iam sole" albo podobny krótki cytat biblijny zwykle oznacza None.</w:t>
      </w:r>
    </w:p>
    <w:p>
      <w:pPr>
        <w:pStyle w:val="Normal"/>
        <w:bidi w:val="0"/>
        <w:jc w:val="start"/>
        <w:rPr>
          <w:rFonts w:ascii="Liberation Mono" w:hAnsi="Liberation Mono"/>
        </w:rPr>
      </w:pPr>
      <w:r>
        <w:rPr>
          <w:rFonts w:ascii="Liberation Mono" w:hAnsi="Liberation Mono"/>
        </w:rPr>
        <w:t>- Ten sam cytat biblijny połączony z tym samym objaśnieniem, tym samym autorytetem (np. Augustinus, Beda, Psalmista), tym samym problemem interpretacyjnym albo tym samym wnioskiem teologicznym może oznaczać Partial, Paraphrase albo Allusion.</w:t>
      </w:r>
    </w:p>
    <w:p>
      <w:pPr>
        <w:pStyle w:val="Normal"/>
        <w:bidi w:val="0"/>
        <w:jc w:val="start"/>
        <w:rPr>
          <w:rFonts w:ascii="Liberation Mono" w:hAnsi="Liberation Mono"/>
        </w:rPr>
      </w:pPr>
      <w:r>
        <w:rPr>
          <w:rFonts w:ascii="Liberation Mono" w:hAnsi="Liberation Mono"/>
        </w:rPr>
        <w:t>- Nie wymagaj dosłowności w interpretacji: w tekstach średniowiecznych zapożyczenie może mieć postać streszczenia, skrótu, parafrazy lub glosy do tego samego wersetu.</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rPr>
      </w:pPr>
      <w:r>
        <w:rPr>
          <w:rFonts w:ascii="Liberation Mono" w:hAnsi="Liberation Mono"/>
        </w:rPr>
        <w:t>Zidentyfikuj i wyodrębnij dokładne fragmenty (substrings), które są zapożyczone. Wybieraj możliwie najkrótsze fragmenty zachowujące dowód zależności. Jeśli brak zapożyczenia, zostaw oba pola fragmentów puste.</w:t>
      </w:r>
    </w:p>
    <w:p>
      <w:pPr>
        <w:pStyle w:val="Normal"/>
        <w:bidi w:val="0"/>
        <w:jc w:val="start"/>
        <w:rPr>
          <w:rFonts w:ascii="Liberation Mono" w:hAnsi="Liberation Mono"/>
        </w:rPr>
      </w:pPr>
      <w:r>
        <w:rPr>
          <w:rFonts w:ascii="Liberation Mono" w:hAnsi="Liberation Mono"/>
        </w:rPr>
      </w:r>
    </w:p>
    <w:p>
      <w:pPr>
        <w:pStyle w:val="Normal"/>
        <w:bidi w:val="0"/>
        <w:jc w:val="start"/>
        <w:rPr>
          <w:rFonts w:ascii="Liberation Mono" w:hAnsi="Liberation Mono"/>
          <w:color w:val="000000"/>
        </w:rPr>
      </w:pPr>
      <w:r>
        <w:rPr>
          <w:rFonts w:ascii="Liberation Mono" w:hAnsi="Liberation Mono"/>
          <w:color w:val="000000"/>
        </w:rPr>
        <w:t>Badany fragment: "{source_segment}"</w:t>
      </w:r>
    </w:p>
    <w:p>
      <w:pPr>
        <w:pStyle w:val="Normal"/>
        <w:bidi w:val="0"/>
        <w:jc w:val="start"/>
        <w:rPr>
          <w:rFonts w:ascii="Liberation Mono" w:hAnsi="Liberation Mono"/>
          <w:color w:val="000000"/>
        </w:rPr>
      </w:pPr>
      <w:r>
        <w:rPr>
          <w:rFonts w:ascii="Liberation Mono" w:hAnsi="Liberation Mono"/>
          <w:color w:val="000000"/>
        </w:rPr>
        <w:t>Fragment referencyjny: "{corpus_chunk}"</w:t>
      </w:r>
    </w:p>
    <w:p>
      <w:pPr>
        <w:pStyle w:val="Normal"/>
        <w:bidi w:val="0"/>
        <w:jc w:val="start"/>
        <w:rPr>
          <w:rFonts w:ascii="Liberation Mono" w:hAnsi="Liberation Mono"/>
          <w:color w:val="000000"/>
        </w:rPr>
      </w:pPr>
      <w:r>
        <w:rPr>
          <w:rFonts w:ascii="Liberation Mono" w:hAnsi="Liberation Mono"/>
          <w:color w:val="000000"/>
        </w:rPr>
      </w:r>
    </w:p>
    <w:p>
      <w:pPr>
        <w:pStyle w:val="Normal"/>
        <w:bidi w:val="0"/>
        <w:jc w:val="start"/>
        <w:rPr>
          <w:rFonts w:ascii="Liberation Mono" w:hAnsi="Liberation Mono"/>
          <w:color w:val="000000"/>
        </w:rPr>
      </w:pPr>
      <w:r>
        <w:rPr>
          <w:rFonts w:ascii="Liberation Mono" w:hAnsi="Liberation Mono"/>
          <w:color w:val="000000"/>
        </w:rPr>
      </w:r>
    </w:p>
    <w:p>
      <w:pPr>
        <w:pStyle w:val="Normal"/>
        <w:bidi w:val="0"/>
        <w:jc w:val="start"/>
        <w:rPr>
          <w:b/>
          <w:bCs/>
          <w:sz w:val="28"/>
          <w:szCs w:val="28"/>
        </w:rPr>
      </w:pPr>
      <w:r>
        <w:rPr>
          <w:b/>
          <w:bCs/>
          <w:sz w:val="28"/>
          <w:szCs w:val="28"/>
        </w:rPr>
        <w:t>Diagramy ilustrujące działanie aplikacji:</w:t>
      </w:r>
    </w:p>
    <w:p>
      <w:pPr>
        <w:pStyle w:val="Normal"/>
        <w:bidi w:val="0"/>
        <w:jc w:val="start"/>
        <w:rPr>
          <w:rFonts w:ascii="Liberation Mono" w:hAnsi="Liberation Mono"/>
          <w:color w:val="000000"/>
        </w:rPr>
      </w:pPr>
      <w:r>
        <w:rPr>
          <w:rFonts w:ascii="Liberation Mono" w:hAnsi="Liberation Mono"/>
          <w:color w:val="000000"/>
        </w:rPr>
      </w:r>
    </w:p>
    <w:p>
      <w:pPr>
        <w:pStyle w:val="Normal"/>
        <w:bidi w:val="0"/>
        <w:jc w:val="start"/>
        <w:rPr>
          <w:rFonts w:ascii="Liberation Mono" w:hAnsi="Liberation Mono"/>
          <w:color w:val="000000"/>
        </w:rPr>
      </w:pPr>
      <w:r>
        <w:rPr>
          <w:rFonts w:ascii="Liberation Mono" w:hAnsi="Liberation Mono"/>
          <w:color w:val="000000"/>
        </w:rPr>
      </w:r>
    </w:p>
    <w:p>
      <w:pPr>
        <w:pStyle w:val="Normal"/>
        <w:bidi w:val="0"/>
        <w:jc w:val="start"/>
        <w:rPr>
          <w:rFonts w:ascii="Liberation Mono" w:hAnsi="Liberation Mono"/>
          <w:color w:val="000000"/>
        </w:rPr>
      </w:pPr>
      <w:r>
        <w:rPr>
          <w:rFonts w:ascii="Liberation Mono" w:hAnsi="Liberation Mono"/>
          <w:color w:val="000000"/>
        </w:rPr>
      </w:r>
      <w:r>
        <w:br w:type="page"/>
      </w:r>
    </w:p>
    <w:p>
      <w:pPr>
        <w:pStyle w:val="Normal"/>
        <w:bidi w:val="0"/>
        <w:spacing w:before="0" w:after="0"/>
        <w:jc w:val="start"/>
        <w:rPr>
          <w:rFonts w:ascii="Liberation Mono" w:hAnsi="Liberation Mono"/>
          <w:color w:val="000000"/>
        </w:rPr>
      </w:pPr>
      <w:r>
        <w:rPr>
          <w:rFonts w:ascii="Liberation Mono" w:hAnsi="Liberation Mono"/>
          <w:color w:val="000000"/>
        </w:rPr>
        <w:drawing>
          <wp:anchor distT="0" distB="0" distL="0" distR="0" simplePos="0" relativeHeight="2" behindDoc="0" locked="0" layoutInCell="0" allowOverlap="1">
            <wp:simplePos x="0" y="0"/>
            <wp:positionH relativeFrom="column">
              <wp:posOffset>709295</wp:posOffset>
            </wp:positionH>
            <wp:positionV relativeFrom="paragraph">
              <wp:posOffset>2104390</wp:posOffset>
            </wp:positionV>
            <wp:extent cx="5047615" cy="88969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rcRect l="-173" t="-80" r="-173" b="-80"/>
                    <a:stretch>
                      <a:fillRect/>
                    </a:stretch>
                  </pic:blipFill>
                  <pic:spPr bwMode="auto">
                    <a:xfrm>
                      <a:off x="0" y="0"/>
                      <a:ext cx="5047615" cy="8896985"/>
                    </a:xfrm>
                    <a:prstGeom prst="rect">
                      <a:avLst/>
                    </a:prstGeom>
                    <a:noFill/>
                    <a:ln w="19050">
                      <a:solidFill>
                        <a:srgbClr val="808080"/>
                      </a:solidFill>
                    </a:ln>
                  </pic:spPr>
                </pic:pic>
              </a:graphicData>
            </a:graphic>
          </wp:anchor>
        </w:drawing>
      </w:r>
      <w:r>
        <w:br w:type="page"/>
      </w:r>
    </w:p>
    <w:p>
      <w:pPr>
        <w:pStyle w:val="Normal"/>
        <w:bidi w:val="0"/>
        <w:spacing w:before="0" w:after="0"/>
        <w:jc w:val="start"/>
        <w:rPr>
          <w:rFonts w:ascii="Liberation Mono" w:hAnsi="Liberation Mono"/>
          <w:color w:val="000000"/>
        </w:rPr>
      </w:pPr>
      <w:r>
        <w:drawing>
          <wp:anchor distT="0" distB="0" distL="0" distR="0" simplePos="0" relativeHeight="3" behindDoc="0" locked="0" layoutInCell="0" allowOverlap="1">
            <wp:simplePos x="0" y="0"/>
            <wp:positionH relativeFrom="column">
              <wp:posOffset>674370</wp:posOffset>
            </wp:positionH>
            <wp:positionV relativeFrom="paragraph">
              <wp:posOffset>45085</wp:posOffset>
            </wp:positionV>
            <wp:extent cx="4843780" cy="851598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extLst>
                        <a:ext uri="{96DAC541-7B7A-43D3-8B79-37D633B846F1}">
                          <asvg:svgBlip xmlns:asvg="http://schemas.microsoft.com/office/drawing/2016/SVG/main" r:embed="rId5"/>
                        </a:ext>
                      </a:extLst>
                    </a:blip>
                    <a:srcRect l="-114" t="-55" r="-114" b="-55"/>
                    <a:stretch>
                      <a:fillRect/>
                    </a:stretch>
                  </pic:blipFill>
                  <pic:spPr bwMode="auto">
                    <a:xfrm>
                      <a:off x="0" y="0"/>
                      <a:ext cx="4843780" cy="8515985"/>
                    </a:xfrm>
                    <a:prstGeom prst="rect">
                      <a:avLst/>
                    </a:prstGeom>
                    <a:noFill/>
                    <a:ln w="19050">
                      <a:solidFill>
                        <a:srgbClr val="999999"/>
                      </a:solidFill>
                    </a:ln>
                  </pic:spPr>
                </pic:pic>
              </a:graphicData>
            </a:graphic>
          </wp:anchor>
        </w:drawing>
      </w:r>
      <w:r>
        <w:rPr>
          <w:rFonts w:ascii="Liberation Mono" w:hAnsi="Liberation Mono"/>
          <w:color w:val="000000"/>
        </w:rPr>
        <w:b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117</TotalTime>
  <Application>LibreOffice/26.2.2.2$Linux_X86_64 LibreOffice_project/620$Build-2</Application>
  <AppVersion>15.0000</AppVersion>
  <Pages>3</Pages>
  <Words>987</Words>
  <Characters>6989</Characters>
  <CharactersWithSpaces>7981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2026-05-30T20:16:00Z</dcterms:created>
  <dc:creator/>
  <dc:description/>
  <dc:language>en-US</dc:language>
  <cp:lastModifiedBy/>
  <dcterms:modified xsi:type="dcterms:W3CDTF">2026-06-01T12:46:06Z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