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Manual</w:t>
      </w:r>
    </w:p>
    <w:bookmarkStart w:id="22" w:name="notation-and-convention"/>
    <w:p>
      <w:pPr>
        <w:pStyle w:val="Heading2"/>
      </w:pPr>
      <w:r>
        <w:t xml:space="preserve">Notation and convention</w:t>
      </w:r>
    </w:p>
    <w:p>
      <w:pPr>
        <w:pStyle w:val="FirstParagraph"/>
      </w:pPr>
      <w:r>
        <w:t xml:space="preserve">In this manual we use small latin leters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rPr>
          <w:rStyle w:val="VerbatimChar"/>
        </w:rPr>
        <w:t xml:space="preserve">h</w:t>
      </w:r>
      <w:r>
        <w:t xml:space="preserve">,… or small gothic letters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h</m:t>
        </m:r>
      </m:oMath>
      <w:r>
        <w:t xml:space="preserve">,… for Lie algebras.</w:t>
      </w:r>
    </w:p>
    <w:p>
      <w:pPr>
        <w:pStyle w:val="BodyText"/>
      </w:pPr>
      <w:r>
        <w:t xml:space="preserve">We use the notation of the theory of real Lie algebra from CoReLG Package,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. Every real simple Lie algebra is identified with triple</w:t>
      </w:r>
      <w:r>
        <w:t xml:space="preserve"> </w:t>
      </w:r>
      <w:r>
        <w:rPr>
          <w:rStyle w:val="VerbatimChar"/>
        </w:rPr>
        <w:t xml:space="preserve">(type,rank, id)</w:t>
      </w:r>
      <w:r>
        <w:t xml:space="preserve">. Be careful,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not always considered as the dimension of the Cartan subalgebra of the simple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It is equal to the dimension of the Cartan subalgebra for all real simple Lie algebras excluding realifications (that is, complex simple lie algebras considered as real Lie algebras). For realifications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equal to zero and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equal to half of the rank of the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Consider the following example.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RealFormsInformation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There</w:t>
      </w:r>
      <w:r>
        <w:rPr>
          <w:rStyle w:val="NormalTok"/>
        </w:rPr>
        <w:t xml:space="preserve"> are 5 simple real forms with complexification E6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is the compact form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 is EI 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C4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 is EII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su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+su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A5+A1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 is EIII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-14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so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+R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D5+R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5</w:t>
      </w:r>
      <w:r>
        <w:rPr>
          <w:rStyle w:val="NormalTok"/>
        </w:rPr>
        <w:t xml:space="preserve"> is EIV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f_4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F4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Index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returns the realification of E6</w:t>
      </w:r>
      <w:r>
        <w:br/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78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CartanSubalgebra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));</w:t>
      </w:r>
      <w:r>
        <w:br/>
      </w:r>
      <w:r>
        <w:rPr>
          <w:rStyle w:val="ExtensionTok"/>
        </w:rPr>
        <w:t xml:space="preserve">6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,6,0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156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CartanSubalgebra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h</w:t>
      </w:r>
      <w:r>
        <w:rPr>
          <w:rStyle w:val="KeywordTok"/>
        </w:rPr>
        <w:t xml:space="preserve">));</w:t>
      </w:r>
      <w:r>
        <w:br/>
      </w:r>
      <w:r>
        <w:rPr>
          <w:rStyle w:val="ExtensionTok"/>
        </w:rPr>
        <w:t xml:space="preserve">12</w:t>
      </w:r>
    </w:p>
    <w:p>
      <w:pPr>
        <w:pStyle w:val="FirstParagraph"/>
      </w:pPr>
      <w:r>
        <w:t xml:space="preserve">Notice: we found some minor misspellings in the code: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"D",4,5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)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"D",4,4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"E",7,3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=</m:t>
        </m:r>
        <m:r>
          <m:t>E</m:t>
        </m:r>
        <m:r>
          <m:t>V</m:t>
        </m:r>
        <m:r>
          <m:t>I</m:t>
        </m:r>
        <m:r>
          <m:t>I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"E",7,4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=</m:t>
        </m:r>
        <m:r>
          <m:t>E</m:t>
        </m:r>
        <m:r>
          <m:t>V</m:t>
        </m:r>
        <m:r>
          <m:t>I</m:t>
        </m:r>
      </m:oMath>
      <w:r>
        <w:t xml:space="preserve">.</w:t>
      </w:r>
    </w:p>
    <w:p>
      <w:pPr>
        <w:pStyle w:val="FirstParagraph"/>
      </w:pPr>
      <w:r>
        <w:t xml:space="preserve">Compare the real rank and the dimension of the real form with the data given in Table 4 in</w:t>
      </w:r>
      <w:r>
        <w:t xml:space="preserve"> </w:t>
      </w:r>
      <w:r>
        <w:t xml:space="preserve">(</w:t>
      </w:r>
      <w:hyperlink w:anchor="ref-onvin">
        <w:r>
          <w:rPr>
            <w:rStyle w:val="Hyperlink"/>
          </w:rPr>
          <w:t xml:space="preserve">Onishchik and Vinberg 1990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To make our work easier, we wrote our own function to recognize the triples.</w:t>
      </w:r>
    </w:p>
    <w:p>
      <w:pPr>
        <w:pStyle w:val="SourceCode"/>
      </w:pPr>
      <w:r>
        <w:rPr>
          <w:rStyle w:val="VerbatimChar"/>
        </w:rPr>
        <w:t xml:space="preserve">GetSymbolSimple(type, rank, id)</w:t>
      </w:r>
    </w:p>
    <w:p>
      <w:pPr>
        <w:pStyle w:val="FirstParagraph"/>
      </w:pPr>
      <w:r>
        <w:t xml:space="preserve">This function works up to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8 and returns string corresponding to the symbol of real simple Lie algebra. Remark: we use notation from</w:t>
      </w:r>
      <w:r>
        <w:t xml:space="preserve"> </w:t>
      </w:r>
      <w:r>
        <w:t xml:space="preserve">(</w:t>
      </w:r>
      <w:hyperlink w:anchor="ref-helgason">
        <w:r>
          <w:rPr>
            <w:rStyle w:val="Hyperlink"/>
          </w:rPr>
          <w:t xml:space="preserve">Helgason 2001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"C"</w:t>
      </w:r>
      <w:r>
        <w:rPr>
          <w:rStyle w:val="ExtensionTok"/>
        </w:rPr>
        <w:t xml:space="preserve">,4,4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"sp(4,R)"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,5,4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"su(3,3)"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,5,5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"su*(6)"</w:t>
      </w:r>
    </w:p>
    <w:bookmarkStart w:id="21" w:name="semisimple-real-lie-algebra"/>
    <w:p>
      <w:pPr>
        <w:pStyle w:val="Heading3"/>
      </w:pPr>
      <w:r>
        <w:t xml:space="preserve">Semisimple real Lie algebra</w:t>
      </w:r>
    </w:p>
    <w:p>
      <w:pPr>
        <w:pStyle w:val="FirstParagraph"/>
      </w:pPr>
      <w:r>
        <w:t xml:space="preserve">We propose the following convention to represent a semisimple real Lie algebra of rank up to 8. Due to the limitations of GAP (see</w:t>
      </w:r>
      <w:r>
        <w:t xml:space="preserve"> </w:t>
      </w:r>
      <w:hyperlink r:id="rId20">
        <w:r>
          <w:rPr>
            <w:rStyle w:val="Hyperlink"/>
          </w:rPr>
          <w:t xml:space="preserve">this</w:t>
        </w:r>
      </w:hyperlink>
      <w:r>
        <w:t xml:space="preserve">), we represent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tuple:</w:t>
      </w:r>
    </w:p>
    <w:p>
      <w:pPr>
        <w:pStyle w:val="SourceCode"/>
      </w:pPr>
      <w:r>
        <w:rPr>
          <w:rStyle w:val="VerbatimChar"/>
        </w:rPr>
        <w:t xml:space="preserve">[real rank, non-compact dimension,type1,rank1,id1,...,typen,rankn,idn]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type1, rank1,id1</w:t>
      </w:r>
      <w:r>
        <w:t xml:space="preserve"> </w:t>
      </w:r>
      <w:r>
        <w:t xml:space="preserve">…</w:t>
      </w:r>
      <w:r>
        <w:t xml:space="preserve"> </w:t>
      </w:r>
      <w:r>
        <w:rPr>
          <w:rStyle w:val="VerbatimChar"/>
        </w:rPr>
        <w:t xml:space="preserve">typen,rankn,idn</w:t>
      </w:r>
      <w:r>
        <w:t xml:space="preserve"> </w:t>
      </w:r>
      <w:r>
        <w:t xml:space="preserve">represent the corresponding triples of simple components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(we use the fact that a semisimple algebra is a direct sum of simple algebras). The first two coordinates in the input vector are given to reduce the complexity of the algorithm.</w:t>
      </w:r>
    </w:p>
    <w:p>
      <w:pPr>
        <w:pStyle w:val="SourceCode"/>
      </w:pPr>
      <w:r>
        <w:rPr>
          <w:rStyle w:val="VerbatimChar"/>
        </w:rPr>
        <w:t xml:space="preserve">GetSymbolSemisimple(tuple)</w:t>
      </w:r>
    </w:p>
    <w:p>
      <w:pPr>
        <w:pStyle w:val="FirstParagraph"/>
      </w:pPr>
      <w:r>
        <w:t xml:space="preserve">The input is a tuple corresponding to the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the symbol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"sl(2,R)+sl(2,R)+so(2,3)"</w:t>
      </w:r>
    </w:p>
    <w:p>
      <w:pPr>
        <w:pStyle w:val="FirstParagraph"/>
      </w:pPr>
      <w:r>
        <w:t xml:space="preserve">If you are familiar with CoReLG Package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 </w:t>
      </w:r>
      <w:r>
        <w:t xml:space="preserve">and want to work with Lie algebra object, we have created the following function:</w:t>
      </w:r>
    </w:p>
    <w:p>
      <w:pPr>
        <w:pStyle w:val="SourceCode"/>
      </w:pPr>
      <w:r>
        <w:rPr>
          <w:rStyle w:val="VerbatimChar"/>
        </w:rPr>
        <w:t xml:space="preserve">RealFormByTuple(tuple)</w:t>
      </w:r>
    </w:p>
    <w:p>
      <w:pPr>
        <w:pStyle w:val="FirstParagraph"/>
      </w:pPr>
      <w:r>
        <w:t xml:space="preserve">The input is a tuple corresponding to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a Lie algebra object corresponding to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"sl(2,R)+sl(2,R)+so(2,3)"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16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4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10</w:t>
      </w:r>
    </w:p>
    <w:p>
      <w:pPr>
        <w:pStyle w:val="FirstParagraph"/>
      </w:pPr>
      <w:r>
        <w:t xml:space="preserve">The reverse operation is ineffective in GAP. The conversion takes a very long time. Often the program closes without warning. The only option is to manually search for the appropriate isomorphisms.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,6,3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78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,6,3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"E6(2)"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k:=CartanDecomposition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.K</w:t>
      </w:r>
      <w:r>
        <w:rPr>
          <w:rStyle w:val="Keyword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"su(2)+su(6)"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IsomorphismOfRealSemisimpleLieAlgebras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k,l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isomorphism between Lie algebras of dimension 38 over SqrtField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VerbatimChar"/>
        </w:rPr>
        <w:t xml:space="preserve">CheckTuple(tuple)</w:t>
      </w:r>
    </w:p>
    <w:p>
      <w:pPr>
        <w:pStyle w:val="FirstParagraph"/>
      </w:pPr>
      <w:r>
        <w:t xml:space="preserve">The inupt is a tuple. This function returns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when the tuple corresponds to a real semisimple Lie algebra (it works only up to 8 simple components).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FunctionTok"/>
        </w:rPr>
        <w:t xml:space="preserve">true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T:=[0,2,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FunctionTok"/>
        </w:rPr>
        <w:t xml:space="preserve">false</w:t>
      </w:r>
    </w:p>
    <w:bookmarkEnd w:id="21"/>
    <w:bookmarkEnd w:id="22"/>
    <w:bookmarkStart w:id="23" w:name="functions-for-complex-lie-algebra"/>
    <w:p>
      <w:pPr>
        <w:pStyle w:val="Heading2"/>
      </w:pPr>
      <w:r>
        <w:t xml:space="preserve">Functions for complex Lie algebra</w:t>
      </w:r>
    </w:p>
    <w:p>
      <w:pPr>
        <w:pStyle w:val="SourceCode"/>
      </w:pPr>
      <w:r>
        <w:rPr>
          <w:rStyle w:val="VerbatimChar"/>
        </w:rPr>
        <w:t xml:space="preserve">NicerSemisimpleSubalgebras(typeRank)</w:t>
      </w:r>
    </w:p>
    <w:p>
      <w:pPr>
        <w:pStyle w:val="FirstParagraph"/>
      </w:pPr>
      <w:r>
        <w:t xml:space="preserve">The function is based on</w:t>
      </w:r>
      <w:r>
        <w:t xml:space="preserve"> </w:t>
      </w:r>
      <w:r>
        <w:rPr>
          <w:rStyle w:val="VerbatimChar"/>
        </w:rPr>
        <w:t xml:space="preserve">LieAlgebraAndSubalgebras</w:t>
      </w:r>
      <w:r>
        <w:t xml:space="preserve"> </w:t>
      </w:r>
      <w:r>
        <w:t xml:space="preserve">function from SLA Package</w:t>
      </w:r>
      <w:r>
        <w:t xml:space="preserve"> </w:t>
      </w:r>
      <w:r>
        <w:t xml:space="preserve">(</w:t>
      </w:r>
      <w:hyperlink w:anchor="ref-sla">
        <w:r>
          <w:rPr>
            <w:rStyle w:val="Hyperlink"/>
          </w:rPr>
          <w:t xml:space="preserve">Graaf 2018</w:t>
        </w:r>
      </w:hyperlink>
      <w:r>
        <w:t xml:space="preserve">)</w:t>
      </w:r>
      <w:r>
        <w:t xml:space="preserve">. It returns a list of types of semisimple subalgebras of a complex Lie algebra (for a given type and rank). Remark: some types may correspond to several linearly equivalence subalgebras.</w:t>
      </w:r>
    </w:p>
    <w:p>
      <w:pPr>
        <w:pStyle w:val="SourceCode"/>
      </w:pPr>
      <w:r>
        <w:rPr>
          <w:rStyle w:val="VerbatimChar"/>
        </w:rPr>
        <w:t xml:space="preserve">NumberOfSubalgebraClasses(typeRankG, typeRankH)</w:t>
      </w:r>
    </w:p>
    <w:p>
      <w:pPr>
        <w:pStyle w:val="FirstParagraph"/>
      </w:pPr>
      <w:r>
        <w:t xml:space="preserve">This function returns the number of linear equivalence classes for a given type of subalgebra (which is the value of the second argument) in complex Lie algebra (which is the value of the first argument).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NicerSemisimpleSubalgebras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KeywordTok"/>
        </w:rPr>
        <w:t xml:space="preserve">);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"G2",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"C3"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C3"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"A1 B3"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A3"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"A1 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"A2 A2 A2"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A5"</w:t>
      </w:r>
      <w:r>
        <w:rPr>
          <w:rStyle w:val="NormalTok"/>
        </w:rPr>
        <w:t xml:space="preserve">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ExtensionTok"/>
        </w:rPr>
        <w:t xml:space="preserve">,</w:t>
      </w:r>
      <w:r>
        <w:rPr>
          <w:rStyle w:val="StringTok"/>
        </w:rPr>
        <w:t xml:space="preserve">"A1 A1"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24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ExtensionTok"/>
        </w:rPr>
        <w:t xml:space="preserve">,</w:t>
      </w:r>
      <w:r>
        <w:rPr>
          <w:rStyle w:val="StringTok"/>
        </w:rPr>
        <w:t xml:space="preserve">"A5"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</w:t>
      </w:r>
    </w:p>
    <w:bookmarkEnd w:id="23"/>
    <w:bookmarkStart w:id="24" w:name="function-for-real-lie-algebras"/>
    <w:p>
      <w:pPr>
        <w:pStyle w:val="Heading2"/>
      </w:pPr>
      <w:r>
        <w:t xml:space="preserve">Function for real Lie algebras</w:t>
      </w:r>
    </w:p>
    <w:p>
      <w:pPr>
        <w:pStyle w:val="SourceCode"/>
      </w:pPr>
      <w:r>
        <w:rPr>
          <w:rStyle w:val="VerbatimChar"/>
        </w:rPr>
        <w:t xml:space="preserve">RealRank(g)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(as an object, not as a tuple). The output is the real rank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(the dimension of the Cartan subalgebra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NonCompactDimension(g)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non-compact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non-compact</w:t>
      </w:r>
      <w:r>
        <w:t xml:space="preserve"> </w:t>
      </w:r>
      <w:r>
        <w:t xml:space="preserve">part from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the 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the compact part of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,5,3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35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2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16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19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37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5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19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18</w:t>
      </w:r>
    </w:p>
    <w:bookmarkEnd w:id="24"/>
    <w:bookmarkStart w:id="25" w:name="Xa176dc2dfda84d3d995b8f3886a2fcd082dbe63"/>
    <w:p>
      <w:pPr>
        <w:pStyle w:val="Heading2"/>
      </w:pPr>
      <w:r>
        <w:t xml:space="preserve">Function for generating potential subalgebras and subalgebra pairs</w:t>
      </w:r>
    </w:p>
    <w:p>
      <w:pPr>
        <w:pStyle w:val="FirstParagraph"/>
      </w:pPr>
      <w:r>
        <w:t xml:space="preserve">The following features are described in more detail in our article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a list of</w:t>
      </w:r>
      <w:r>
        <w:t xml:space="preserve"> </w:t>
      </w:r>
      <w:r>
        <w:t xml:space="preserve">semisimple subalgebras 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1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PotentialSubalgebraPairs("type",rank,id)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subalgebra pairs</w:t>
      </w:r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2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GetSymbolPairs(output of previous function)</w:t>
      </w:r>
    </w:p>
    <w:p>
      <w:pPr>
        <w:pStyle w:val="FirstParagraph"/>
      </w:pPr>
      <w:r>
        <w:t xml:space="preserve">This function returns symbols of the triples (see example below).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L:=PotentialSubalgebraPairs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30%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60%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90%</w:t>
      </w:r>
      <w:r>
        <w:br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 completed.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[ [ 2, </w:t>
      </w:r>
      <w:r>
        <w:rPr>
          <w:rStyle w:val="ErrorTok"/>
        </w:rPr>
        <w:t xml:space="preserve">14,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4, 2 ],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2 ] ], [ [ 2, 14,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4,</w:t>
      </w:r>
      <w:r>
        <w:rPr>
          <w:rStyle w:val="NormalTok"/>
        </w:rPr>
        <w:t xml:space="preserve"> 2 ] ], [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6 ],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6 ] ],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[ 2, 14, </w:t>
      </w:r>
      <w:r>
        <w:rPr>
          <w:rStyle w:val="ErrorTok"/>
        </w:rPr>
        <w:t xml:space="preserve">"A",</w:t>
      </w:r>
      <w:r>
        <w:rPr>
          <w:rStyle w:val="NormalTok"/>
        </w:rPr>
        <w:t xml:space="preserve">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2 ] ]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GetSymbolPairs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</w:t>
      </w:r>
      <w:r>
        <w:rPr>
          <w:rStyle w:val="KeywordTok"/>
        </w:rPr>
        <w:t xml:space="preserve">);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2,7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l=F4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6</w:t>
      </w:r>
      <w:r>
        <w:rPr>
          <w:rStyle w:val="PreprocessorTok"/>
        </w:rPr>
        <w:t xml:space="preserve">)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F4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3,7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l=so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3,7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+su*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l=F4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"E6(6)"</w:t>
      </w:r>
    </w:p>
    <w:bookmarkEnd w:id="25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26" w:name="ref-BJT"/>
    <w:p>
      <w:pPr>
        <w:pStyle w:val="Bibliography"/>
      </w:pPr>
      <w:r>
        <w:t xml:space="preserve">Bocheński, M., P. Jastrzębski, and A. Tralle. 2019.</w:t>
      </w:r>
      <w:r>
        <w:t xml:space="preserve"> </w:t>
      </w:r>
      <w:r>
        <w:t xml:space="preserve">“Non-Existence of Standard Compact Clifford-Klein Forms of Homogeneous Spaces of Exceptional Lie Groups.”</w:t>
      </w:r>
    </w:p>
    <w:bookmarkEnd w:id="26"/>
    <w:bookmarkStart w:id="28" w:name="ref-CoReLG"/>
    <w:p>
      <w:pPr>
        <w:pStyle w:val="Bibliography"/>
      </w:pPr>
      <w:r>
        <w:t xml:space="preserve">Dietrich, H., P. Faccin, and W. A. de Graaf. 2014.</w:t>
      </w:r>
      <w:r>
        <w:t xml:space="preserve"> </w:t>
      </w:r>
      <w:r>
        <w:t xml:space="preserve">“CoReLG, Computation with Real Lie Groups, Version 1.20.”</w:t>
      </w:r>
      <w:r>
        <w:t xml:space="preserve"> </w:t>
      </w:r>
      <w:hyperlink r:id="rId27">
        <w:r>
          <w:rPr>
            <w:rStyle w:val="Hyperlink"/>
          </w:rPr>
          <w:t xml:space="preserve">http://users.monash.edu/~heikod/corelg/</w:t>
        </w:r>
      </w:hyperlink>
      <w:r>
        <w:t xml:space="preserve">.</w:t>
      </w:r>
    </w:p>
    <w:bookmarkEnd w:id="28"/>
    <w:bookmarkStart w:id="30" w:name="ref-sla"/>
    <w:p>
      <w:pPr>
        <w:pStyle w:val="Bibliography"/>
      </w:pPr>
      <w:r>
        <w:t xml:space="preserve">Graaf, W. A. de. 2018.</w:t>
      </w:r>
      <w:r>
        <w:t xml:space="preserve"> </w:t>
      </w:r>
      <w:r>
        <w:t xml:space="preserve">“SLA, Simple Lie Algebras, Version 1.5.”</w:t>
      </w:r>
      <w:r>
        <w:t xml:space="preserve"> </w:t>
      </w:r>
      <w:hyperlink r:id="rId29">
        <w:r>
          <w:rPr>
            <w:rStyle w:val="Hyperlink"/>
          </w:rPr>
          <w:t xml:space="preserve">http://www.science.unitn.it/~degraaf/sla.html</w:t>
        </w:r>
      </w:hyperlink>
      <w:r>
        <w:t xml:space="preserve">.</w:t>
      </w:r>
    </w:p>
    <w:bookmarkEnd w:id="30"/>
    <w:bookmarkStart w:id="31" w:name="ref-helgason"/>
    <w:p>
      <w:pPr>
        <w:pStyle w:val="Bibliography"/>
      </w:pPr>
      <w:r>
        <w:t xml:space="preserve">Helgason, S. 2001.</w:t>
      </w:r>
      <w:r>
        <w:t xml:space="preserve"> </w:t>
      </w:r>
      <w:r>
        <w:rPr>
          <w:iCs/>
          <w:i/>
        </w:rPr>
        <w:t xml:space="preserve">Differential Geometry and Symmetric Spaces</w:t>
      </w:r>
      <w:r>
        <w:t xml:space="preserve">. American Mathematical Society.</w:t>
      </w:r>
    </w:p>
    <w:bookmarkEnd w:id="31"/>
    <w:bookmarkStart w:id="32" w:name="ref-onvin"/>
    <w:p>
      <w:pPr>
        <w:pStyle w:val="Bibliography"/>
      </w:pPr>
      <w:r>
        <w:t xml:space="preserve">Onishchik, A., and E. Vinberg. 1990.</w:t>
      </w:r>
      <w:r>
        <w:t xml:space="preserve"> </w:t>
      </w:r>
      <w:r>
        <w:rPr>
          <w:iCs/>
          <w:i/>
        </w:rPr>
        <w:t xml:space="preserve">Lie Groups and Algebraic Groups</w:t>
      </w:r>
      <w:r>
        <w:t xml:space="preserve">. Springer Series in Soviet Mathematics. Springer-Verlag Berlin Heidelberg.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users.monash.edu/~heikod/corelg/" TargetMode="External" /><Relationship Type="http://schemas.openxmlformats.org/officeDocument/2006/relationships/hyperlink" Id="rId29" Target="http://www.science.unitn.it/~degraaf/sla.html" TargetMode="External" /><Relationship Type="http://schemas.openxmlformats.org/officeDocument/2006/relationships/hyperlink" Id="rId20" Target="https://www.gap-system.org/Faq/faq.html#6.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users.monash.edu/~heikod/corelg/" TargetMode="External" /><Relationship Type="http://schemas.openxmlformats.org/officeDocument/2006/relationships/hyperlink" Id="rId29" Target="http://www.science.unitn.it/~degraaf/sla.html" TargetMode="External" /><Relationship Type="http://schemas.openxmlformats.org/officeDocument/2006/relationships/hyperlink" Id="rId20" Target="https://www.gap-system.org/Faq/faq.html#6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Manual</dc:title>
  <dc:creator/>
  <cp:keywords/>
  <dcterms:created xsi:type="dcterms:W3CDTF">2021-06-29T13:34:33Z</dcterms:created>
  <dcterms:modified xsi:type="dcterms:W3CDTF">2021-06-29T13:34:33Z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