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Manual</w:t>
      </w:r>
      <w:r>
        <w:t xml:space="preserve"> </w:t>
      </w:r>
      <w:r>
        <w:t xml:space="preserve">for</w:t>
      </w:r>
      <w:r>
        <w:t xml:space="preserve"> </w:t>
      </w:r>
      <w:r>
        <w:t xml:space="preserve">version</w:t>
      </w:r>
      <w:r>
        <w:t xml:space="preserve"> </w:t>
      </w:r>
      <w:r>
        <w:t xml:space="preserve">2.x</w:t>
      </w:r>
    </w:p>
    <w:bookmarkStart w:id="20" w:name="notation-and-convention"/>
    <w:p>
      <w:pPr>
        <w:pStyle w:val="Heading2"/>
      </w:pPr>
      <w:r>
        <w:t xml:space="preserve">Notation and convention</w:t>
      </w:r>
    </w:p>
    <w:p>
      <w:pPr>
        <w:pStyle w:val="FirstParagraph"/>
      </w:pPr>
      <w:r>
        <w:t xml:space="preserve">This instruction descibes the functionality associated with the following article</w:t>
      </w:r>
      <w:r>
        <w:t xml:space="preserve"> </w:t>
      </w:r>
      <w:r>
        <w:t xml:space="preserve">(</w:t>
      </w:r>
      <w:hyperlink w:anchor="ref-BJT2021">
        <w:r>
          <w:rPr>
            <w:rStyle w:val="Hyperlink"/>
          </w:rPr>
          <w:t xml:space="preserve">Bochenski, Jastrzebski, and Tralle 2021</w:t>
        </w:r>
      </w:hyperlink>
      <w:r>
        <w:t xml:space="preserve">)</w:t>
      </w:r>
    </w:p>
    <w:p>
      <w:pPr>
        <w:pStyle w:val="BodyText"/>
      </w:pPr>
      <w:r>
        <w:t xml:space="preserve">We use the notation of the theory of real Lie algebras from CoReLG Package,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.</w:t>
      </w:r>
    </w:p>
    <w:bookmarkEnd w:id="20"/>
    <w:bookmarkStart w:id="21" w:name="function-for-real-lie-algebras"/>
    <w:p>
      <w:pPr>
        <w:pStyle w:val="Heading2"/>
      </w:pPr>
      <w:r>
        <w:t xml:space="preserve">Function for real Lie algebras</w:t>
      </w:r>
    </w:p>
    <w:p>
      <w:pPr>
        <w:pStyle w:val="SourceCode"/>
      </w:pPr>
      <w:r>
        <w:rPr>
          <w:rStyle w:val="VerbatimChar"/>
        </w:rPr>
        <w:t xml:space="preserve">RealRank(g)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(as an Lie algebra object). The output is the real rank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(the dimension of the Cartan subalgebra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AHypRank(g)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(as an Lie algebra object). The output is the a-hyperbolic rank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,5,6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35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NameRealForm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"sl(6,R)"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5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AHypRank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3</w:t>
      </w:r>
    </w:p>
    <w:bookmarkEnd w:id="21"/>
    <w:bookmarkStart w:id="22" w:name="main-procedure"/>
    <w:p>
      <w:pPr>
        <w:pStyle w:val="Heading2"/>
      </w:pPr>
      <w:r>
        <w:t xml:space="preserve">Main procedure</w:t>
      </w:r>
    </w:p>
    <w:p>
      <w:pPr>
        <w:pStyle w:val="FirstParagraph"/>
      </w:pPr>
      <w:r>
        <w:t xml:space="preserve">As in Theorem 6 in</w:t>
      </w:r>
      <w:r>
        <w:t xml:space="preserve"> </w:t>
      </w:r>
      <w:r>
        <w:t xml:space="preserve">(</w:t>
      </w:r>
      <w:hyperlink w:anchor="ref-BJT2021">
        <w:r>
          <w:rPr>
            <w:rStyle w:val="Hyperlink"/>
          </w:rPr>
          <w:t xml:space="preserve">Bochenski, Jastrzebski, and Tralle 2021</w:t>
        </w:r>
      </w:hyperlink>
      <w:r>
        <w:t xml:space="preserve">)</w:t>
      </w:r>
      <w:r>
        <w:t xml:space="preserve"> </w:t>
      </w:r>
      <w:r>
        <w:t xml:space="preserve">we are checking three conditions: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Calabi–Markus phenomenon,</w:t>
      </w:r>
      <w:r>
        <w:t xml:space="preserve"> </w:t>
      </w:r>
      <m:oMath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  <m:r>
          <m:rPr>
            <m:sty m:val="p"/>
            <m:scr m:val="fraktur"/>
          </m:rPr>
          <m:t>g</m:t>
        </m:r>
        <m:r>
          <m:rPr>
            <m:sty m:val="p"/>
          </m:rPr>
          <m:t>=</m:t>
        </m:r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  <m:r>
          <m:rPr>
            <m:sty m:val="p"/>
            <m:scr m:val="fraktur"/>
          </m:rPr>
          <m:t>h</m:t>
        </m:r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L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nor/>
                <m:sty m:val="p"/>
              </m:rPr>
              <m:t>a-hyp</m:t>
            </m:r>
          </m:sub>
        </m:sSub>
        <m:r>
          <m:rPr>
            <m:sty m:val="p"/>
          </m:rPr>
          <m:t>(</m:t>
        </m:r>
        <m:r>
          <m:rPr>
            <m:sty m:val="p"/>
            <m:scr m:val="fraktur"/>
          </m:rPr>
          <m:t>g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nor/>
                <m:sty m:val="p"/>
              </m:rPr>
              <m:t>a-hyp</m:t>
            </m:r>
          </m:sub>
        </m:sSub>
        <m:r>
          <m:rPr>
            <m:sty m:val="p"/>
          </m:rPr>
          <m:t>(</m:t>
        </m:r>
        <m:r>
          <m:rPr>
            <m:sty m:val="p"/>
            <m:scr m:val="fraktur"/>
          </m:rPr>
          <m:t>h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nor/>
                <m:sty m:val="p"/>
              </m:rPr>
              <m:t>a-hyp</m:t>
            </m:r>
          </m:sub>
        </m:sSub>
        <m:r>
          <m:rPr>
            <m:sty m:val="p"/>
          </m:rPr>
          <m:t>(</m:t>
        </m:r>
        <m:r>
          <m:rPr>
            <m:sty m:val="p"/>
            <m:scr m:val="fraktur"/>
          </m:rPr>
          <m:t>g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rPr>
                <m:nor/>
                <m:sty m:val="p"/>
              </m:rPr>
              <m:t>rank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  <m:r>
          <m:rPr>
            <m:sty m:val="p"/>
            <m:scr m:val="fraktur"/>
          </m:rPr>
          <m:t>h</m:t>
        </m:r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L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- none of the above conditions is met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CheckRankConditions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,5,6</w:t>
      </w:r>
      <w:r>
        <w:rPr>
          <w:rStyle w:val="KeywordTok"/>
        </w:rPr>
        <w:t xml:space="preserve">);</w:t>
      </w:r>
      <w:r>
        <w:br/>
      </w:r>
      <w:r>
        <w:rPr>
          <w:rStyle w:val="VariableTok"/>
        </w:rPr>
        <w:t xml:space="preserve">g=</w:t>
      </w:r>
      <w:r>
        <w:rPr>
          <w:rStyle w:val="NormalTok"/>
        </w:rPr>
        <w:t xml:space="preserve">sl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6,R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real</w:t>
      </w:r>
      <w:r>
        <w:rPr>
          <w:rStyle w:val="NormalTok"/>
        </w:rPr>
        <w:t xml:space="preserve"> 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=5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a-hyp</w:t>
      </w:r>
      <w:r>
        <w:rPr>
          <w:rStyle w:val="NormalTok"/>
        </w:rPr>
        <w:t xml:space="preserve"> 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=3</w:t>
      </w:r>
      <w:r>
        <w:br/>
      </w:r>
      <w:r>
        <w:rPr>
          <w:rStyle w:val="ExtensionTok"/>
        </w:rPr>
        <w:t xml:space="preserve">----------------------------</w:t>
      </w:r>
      <w:r>
        <w:br/>
      </w:r>
      <w:r>
        <w:rPr>
          <w:rStyle w:val="CommentTok"/>
        </w:rPr>
        <w:t xml:space="preserve">#1: h=sl(3,R)+sl(3,R) + a torus of  1 non-compact dimensions | real rank(h)=5 | ahyp rank(h)=2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#2: h=sl(3,C) + a torus of 1 compact dimensions | real rank(h)=2 | ahyp rank(h)=1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#3: h=sl(2,R)+sl(4,R) + a torus of  1 non-compact dimensions | real rank(h)=5 | ahyp rank(h)=3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#4: h=sl(5,R) + a torus of  1 non-compact dimensions | real rank(h)=5 | ahyp rank(h)=2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#5: h=sl(3,R) | real rank(h)=2 | ahyp rank(h)=1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#6: h=sl(2,R)+sl(3,R) | real rank(h)=3 | ahyp rank(h)=2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L3-true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#7: h=su(4) | real rank(h)=0 | ahyp rank(h)=0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#8: h=su(2,2) | real rank(h)=2 | ahyp rank(h)=2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#9: h=sl(2,H) | real rank(h)=1 | ahyp rank(h)=1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#10: h=sl(4,R) | real rank(h)=3 | ahyp rank(h)=2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L3-true</w:t>
      </w:r>
      <w:r>
        <w:br/>
      </w:r>
      <w:r>
        <w:rPr>
          <w:rStyle w:val="ExtensionTok"/>
        </w:rPr>
        <w:t xml:space="preserve">----</w:t>
      </w:r>
      <w:r>
        <w:br/>
      </w:r>
      <w:r>
        <w:rPr>
          <w:rStyle w:val="CommentTok"/>
        </w:rPr>
        <w:t xml:space="preserve">#11: h=sp(3,R) | real rank(h)=3 | ahyp rank(h)=3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L0-false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L1-true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L2-false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L3-false</w:t>
      </w:r>
      <w:r>
        <w:br/>
      </w:r>
      <w:r>
        <w:rPr>
          <w:rStyle w:val="ExtensionTok"/>
        </w:rPr>
        <w:t xml:space="preserve">----</w:t>
      </w:r>
    </w:p>
    <w:p>
      <w:pPr>
        <w:pStyle w:val="FirstParagraph"/>
      </w:pPr>
      <w:r>
        <w:t xml:space="preserve">The next possible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are consecutive maximal subalgebras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generated by the function</w:t>
      </w:r>
      <w:r>
        <w:t xml:space="preserve"> </w:t>
      </w:r>
      <w:r>
        <w:rPr>
          <w:rStyle w:val="VerbatimChar"/>
        </w:rPr>
        <w:t xml:space="preserve">MaximalReductiveSubalgebras</w:t>
      </w:r>
      <w:r>
        <w:t xml:space="preserve"> </w:t>
      </w:r>
      <w:r>
        <w:t xml:space="preserve">from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All calculations are being done in the</w:t>
      </w:r>
      <w:r>
        <w:t xml:space="preserve"> </w:t>
      </w:r>
      <w:r>
        <w:t xml:space="preserve">“</w:t>
      </w:r>
      <w:r>
        <w:t xml:space="preserve">Database - v2</w:t>
      </w:r>
      <w:r>
        <w:t xml:space="preserve">”</w:t>
      </w:r>
      <w:r>
        <w:t xml:space="preserve"> </w:t>
      </w:r>
      <w:r>
        <w:t xml:space="preserve">section.</w:t>
      </w:r>
    </w:p>
    <w:p>
      <w:pPr>
        <w:pStyle w:val="BodyText"/>
      </w:pPr>
      <w:r>
        <w:t xml:space="preserve">Next if</w:t>
      </w:r>
      <w:r>
        <w:t xml:space="preserve"> </w:t>
      </w:r>
      <w:r>
        <w:rPr>
          <w:rStyle w:val="VerbatimChar"/>
        </w:rPr>
        <w:t xml:space="preserve">L3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then we check the condition for orbits as in Theorem 5 in</w:t>
      </w:r>
      <w:r>
        <w:t xml:space="preserve"> </w:t>
      </w:r>
      <w:r>
        <w:t xml:space="preserve">(</w:t>
      </w:r>
      <w:hyperlink w:anchor="ref-BJT2021">
        <w:r>
          <w:rPr>
            <w:rStyle w:val="Hyperlink"/>
          </w:rPr>
          <w:t xml:space="preserve">Bochenski, Jastrzebski, and Tralle 2021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CheckProperSL2RAction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,5,6,6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proper</w:t>
      </w:r>
    </w:p>
    <w:p>
      <w:pPr>
        <w:pStyle w:val="FirstParagraph"/>
      </w:pPr>
      <w:r>
        <w:t xml:space="preserve">The last argument of the function</w:t>
      </w:r>
      <w:r>
        <w:t xml:space="preserve"> </w:t>
      </w:r>
      <w:r>
        <w:rPr>
          <w:rStyle w:val="VerbatimChar"/>
        </w:rPr>
        <w:t xml:space="preserve">CheckProperSL2RAction</w:t>
      </w:r>
      <w:r>
        <w:t xml:space="preserve"> </w:t>
      </w:r>
      <w:r>
        <w:t xml:space="preserve">is an index of the maximal subalgebra (</w:t>
      </w:r>
      <w:r>
        <w:rPr>
          <w:rStyle w:val="VerbatimChar"/>
        </w:rPr>
        <w:t xml:space="preserve">subalgs</w:t>
      </w:r>
      <w:r>
        <w:t xml:space="preserve"> </w:t>
      </w:r>
      <w:r>
        <w:t xml:space="preserve">output</w:t>
      </w:r>
      <w:r>
        <w:t xml:space="preserve"> </w:t>
      </w:r>
      <w:r>
        <w:rPr>
          <w:rStyle w:val="VerbatimChar"/>
        </w:rPr>
        <w:t xml:space="preserve">MaximalReductiveSubalgebras</w:t>
      </w:r>
      <w:r>
        <w:t xml:space="preserve">).</w:t>
      </w:r>
    </w:p>
    <w:bookmarkEnd w:id="22"/>
    <w:bookmarkStart w:id="28" w:name="references"/>
    <w:p>
      <w:pPr>
        <w:pStyle w:val="Heading2"/>
      </w:pPr>
      <w:r>
        <w:t xml:space="preserve">References</w:t>
      </w:r>
    </w:p>
    <w:bookmarkStart w:id="27" w:name="refs"/>
    <w:bookmarkStart w:id="24" w:name="ref-BJT2021"/>
    <w:p>
      <w:pPr>
        <w:pStyle w:val="Bibliography"/>
      </w:pPr>
      <w:r>
        <w:t xml:space="preserve">Bochenski, Maciej, Piotr Jastrzebski, and Aleksy Tralle. 2021.</w:t>
      </w:r>
      <w:r>
        <w:t xml:space="preserve"> </w:t>
      </w:r>
      <w:r>
        <w:t xml:space="preserve">“Homogeneous Spaces of Real Simple Lie Groups with Proper Actions of Non Virtually Abelian Discrete Subgroups: A Calculational Approach.”</w:t>
      </w:r>
      <w:r>
        <w:t xml:space="preserve"> </w:t>
      </w:r>
      <w:hyperlink r:id="rId23">
        <w:r>
          <w:rPr>
            <w:rStyle w:val="Hyperlink"/>
          </w:rPr>
          <w:t xml:space="preserve">http://arxiv.org/abs/2106.05777</w:t>
        </w:r>
      </w:hyperlink>
      <w:r>
        <w:t xml:space="preserve">.</w:t>
      </w:r>
    </w:p>
    <w:bookmarkEnd w:id="24"/>
    <w:bookmarkStart w:id="26" w:name="ref-CoReLG"/>
    <w:p>
      <w:pPr>
        <w:pStyle w:val="Bibliography"/>
      </w:pPr>
      <w:r>
        <w:t xml:space="preserve">Dietrich, H., P. Faccin, and W. A. de Graaf. 2014.</w:t>
      </w:r>
      <w:r>
        <w:t xml:space="preserve"> </w:t>
      </w:r>
      <w:r>
        <w:t xml:space="preserve">“CoReLG, Computation with Real Lie Groups, Version 1.20.”</w:t>
      </w:r>
      <w:r>
        <w:t xml:space="preserve"> </w:t>
      </w:r>
      <w:hyperlink r:id="rId25">
        <w:r>
          <w:rPr>
            <w:rStyle w:val="Hyperlink"/>
          </w:rPr>
          <w:t xml:space="preserve">http://users.monash.edu/~heikod/corelg/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rxiv.org/abs/2106.05777" TargetMode="External" /><Relationship Type="http://schemas.openxmlformats.org/officeDocument/2006/relationships/hyperlink" Id="rId25" Target="http://users.monash.edu/~heikod/corel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rxiv.org/abs/2106.05777" TargetMode="External" /><Relationship Type="http://schemas.openxmlformats.org/officeDocument/2006/relationships/hyperlink" Id="rId25" Target="http://users.monash.edu/~heikod/corel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Manual for version 2.x</dc:title>
  <dc:creator/>
  <cp:keywords/>
  <dcterms:created xsi:type="dcterms:W3CDTF">2021-07-02T11:10:29Z</dcterms:created>
  <dcterms:modified xsi:type="dcterms:W3CDTF">2021-07-02T11:10:29Z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