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3603E3" w14:textId="25C32A1E" w:rsidR="00AA6C69" w:rsidRDefault="00AA6C69">
      <w:r>
        <w:rPr>
          <w:noProof/>
        </w:rPr>
        <w:drawing>
          <wp:inline distT="0" distB="0" distL="0" distR="0" wp14:anchorId="17DA7C20" wp14:editId="334CD639">
            <wp:extent cx="5433060" cy="8686800"/>
            <wp:effectExtent l="0" t="0" r="0" b="0"/>
            <wp:docPr id="77975530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3060" cy="868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7CFC2" w14:textId="1BF3B848" w:rsidR="00AA6C69" w:rsidRDefault="00AA6C69">
      <w:r>
        <w:rPr>
          <w:noProof/>
        </w:rPr>
        <w:lastRenderedPageBreak/>
        <w:drawing>
          <wp:inline distT="0" distB="0" distL="0" distR="0" wp14:anchorId="79CA701F" wp14:editId="4F62CA32">
            <wp:extent cx="5730240" cy="8374380"/>
            <wp:effectExtent l="0" t="0" r="3810" b="7620"/>
            <wp:docPr id="2047584304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837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24CE1" w14:textId="169C4D5A" w:rsidR="00AA6C69" w:rsidRDefault="00AA6C69">
      <w:pPr>
        <w:rPr>
          <w:rFonts w:hint="eastAsia"/>
        </w:rPr>
      </w:pPr>
      <w:r>
        <w:rPr>
          <w:rFonts w:hint="eastAsia"/>
        </w:rPr>
        <w:lastRenderedPageBreak/>
        <w:t>6.</w:t>
      </w:r>
    </w:p>
    <w:p w14:paraId="51107784" w14:textId="785C1825" w:rsidR="00AA6C69" w:rsidRDefault="00AA6C69">
      <w:r>
        <w:rPr>
          <w:rFonts w:ascii="DengXian" w:hAnsi="DengXian" w:hint="eastAsia"/>
          <w:noProof/>
          <w:lang w:eastAsia="zh-CN"/>
        </w:rPr>
        <w:drawing>
          <wp:inline distT="0" distB="0" distL="0" distR="0" wp14:anchorId="5AC79B2F" wp14:editId="369948F8">
            <wp:extent cx="5730240" cy="4998720"/>
            <wp:effectExtent l="0" t="0" r="3810" b="0"/>
            <wp:docPr id="172744521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99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95358" w14:textId="77777777" w:rsidR="00AA6C69" w:rsidRDefault="00AA6C69" w:rsidP="00AA6C69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32"/>
        </w:tabs>
        <w:rPr>
          <w:rFonts w:ascii="DengXian" w:eastAsia="DengXian" w:hAnsi="DengXian"/>
          <w:lang w:eastAsia="zh-CN"/>
        </w:rPr>
      </w:pPr>
      <w:r>
        <w:rPr>
          <w:rFonts w:ascii="DengXian" w:hAnsi="DengXian" w:hint="eastAsia"/>
          <w:lang w:eastAsia="zh-CN"/>
        </w:rPr>
        <w:t>7.</w:t>
      </w:r>
      <w:r>
        <w:rPr>
          <w:rFonts w:ascii="DengXian" w:eastAsia="DengXian" w:hAnsi="DengXian" w:hint="eastAsia"/>
          <w:lang w:eastAsia="zh-CN"/>
        </w:rPr>
        <w:t>试述等值连接与自然连接的区别和联系。</w:t>
      </w:r>
    </w:p>
    <w:p w14:paraId="7C3F2F9B" w14:textId="77777777" w:rsidR="00AA6C69" w:rsidRDefault="00AA6C69" w:rsidP="00AA6C69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32"/>
        </w:tabs>
        <w:rPr>
          <w:rFonts w:ascii="DengXian" w:eastAsia="DengXian" w:hAnsi="DengXian"/>
          <w:lang w:eastAsia="zh-CN"/>
        </w:rPr>
      </w:pPr>
      <w:r>
        <w:rPr>
          <w:rFonts w:ascii="DengXian" w:eastAsia="DengXian" w:hAnsi="DengXian"/>
          <w:lang w:eastAsia="zh-CN"/>
        </w:rPr>
        <w:tab/>
      </w:r>
      <w:r>
        <w:rPr>
          <w:rFonts w:ascii="DengXian" w:eastAsia="DengXian" w:hAnsi="DengXian" w:hint="eastAsia"/>
          <w:lang w:eastAsia="zh-CN"/>
        </w:rPr>
        <w:t>自然连接一定是等值连接，但等值连接不一定是自然连接。</w:t>
      </w:r>
    </w:p>
    <w:p w14:paraId="1F1248F1" w14:textId="77777777" w:rsidR="00AA6C69" w:rsidRDefault="00AA6C69" w:rsidP="00AA6C69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32"/>
        </w:tabs>
        <w:rPr>
          <w:rFonts w:ascii="DengXian" w:eastAsia="DengXian" w:hAnsi="DengXian"/>
          <w:lang w:eastAsia="zh-CN"/>
        </w:rPr>
      </w:pPr>
      <w:r>
        <w:rPr>
          <w:rFonts w:ascii="DengXian" w:eastAsia="DengXian" w:hAnsi="DengXian"/>
          <w:lang w:eastAsia="zh-CN"/>
        </w:rPr>
        <w:tab/>
      </w:r>
      <w:r>
        <w:rPr>
          <w:rFonts w:ascii="DengXian" w:eastAsia="DengXian" w:hAnsi="DengXian" w:hint="eastAsia"/>
          <w:lang w:eastAsia="zh-CN"/>
        </w:rPr>
        <w:t>等值连接要求相等的分量，不一定是公共属性，但自然连接要求相等的分量必须是公共属性。</w:t>
      </w:r>
    </w:p>
    <w:p w14:paraId="1B85144E" w14:textId="77777777" w:rsidR="00AA6C69" w:rsidRDefault="00AA6C69" w:rsidP="00AA6C69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32"/>
        </w:tabs>
        <w:rPr>
          <w:rFonts w:ascii="DengXian" w:hAnsi="DengXian"/>
          <w:lang w:eastAsia="zh-CN"/>
        </w:rPr>
      </w:pPr>
      <w:r>
        <w:rPr>
          <w:rFonts w:ascii="DengXian" w:eastAsia="DengXian" w:hAnsi="DengXian" w:hint="eastAsia"/>
          <w:lang w:eastAsia="zh-CN"/>
        </w:rPr>
        <w:t>8.关系代数的基本运算有哪些？如何用这些基本运算来表示其他运算？</w:t>
      </w:r>
    </w:p>
    <w:p w14:paraId="5B68A424" w14:textId="77777777" w:rsidR="00AA6C69" w:rsidRDefault="00AA6C69" w:rsidP="00AA6C69">
      <w:pPr>
        <w:rPr>
          <w:rFonts w:ascii="DengXian" w:eastAsia="DengXian" w:hAnsi="DengXian"/>
          <w:lang w:eastAsia="zh-CN"/>
        </w:rPr>
      </w:pPr>
      <w:r>
        <w:rPr>
          <w:rFonts w:ascii="DengXian" w:hAnsi="DengXian"/>
          <w:lang w:eastAsia="zh-CN"/>
        </w:rPr>
        <w:tab/>
      </w:r>
      <w:r>
        <w:rPr>
          <w:rFonts w:ascii="DengXian" w:eastAsia="DengXian" w:hAnsi="DengXian" w:hint="eastAsia"/>
          <w:lang w:eastAsia="zh-CN"/>
        </w:rPr>
        <w:t>在关系代数的八种运算中并，差，笛卡尔积，投影和选择为基本运算。</w:t>
      </w:r>
    </w:p>
    <w:p w14:paraId="3CF5C4AF" w14:textId="77777777" w:rsidR="00AA6C69" w:rsidRPr="00AA6C69" w:rsidRDefault="00AA6C69">
      <w:pPr>
        <w:rPr>
          <w:rFonts w:hint="eastAsia"/>
          <w:lang w:eastAsia="zh-CN"/>
        </w:rPr>
      </w:pPr>
    </w:p>
    <w:sectPr w:rsidR="00AA6C69" w:rsidRPr="00AA6C6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C69"/>
    <w:rsid w:val="00AA6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915EF"/>
  <w15:chartTrackingRefBased/>
  <w15:docId w15:val="{32F3AA55-A984-4A29-A665-E24746F73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버미</dc:creator>
  <cp:keywords/>
  <dc:description/>
  <cp:lastModifiedBy>버미</cp:lastModifiedBy>
  <cp:revision>1</cp:revision>
  <dcterms:created xsi:type="dcterms:W3CDTF">2024-03-24T12:28:00Z</dcterms:created>
  <dcterms:modified xsi:type="dcterms:W3CDTF">2024-03-24T12:30:00Z</dcterms:modified>
</cp:coreProperties>
</file>