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6F6C" w14:textId="77777777" w:rsidR="00280E6A" w:rsidRPr="00280E6A" w:rsidRDefault="00280E6A" w:rsidP="00280E6A">
      <w:pPr>
        <w:rPr>
          <w:b/>
          <w:bCs/>
        </w:rPr>
      </w:pPr>
      <w:r w:rsidRPr="00280E6A">
        <w:rPr>
          <w:b/>
          <w:bCs/>
        </w:rPr>
        <w:t>12.4 Residential Care</w:t>
      </w:r>
    </w:p>
    <w:p w14:paraId="5613242D" w14:textId="77777777" w:rsidR="00280E6A" w:rsidRPr="00280E6A" w:rsidRDefault="00280E6A" w:rsidP="00280E6A">
      <w:r w:rsidRPr="00280E6A">
        <w:rPr>
          <w:b/>
          <w:bCs/>
        </w:rPr>
        <w:t>This chapter was last reviewed and/or updated in January 2022.</w:t>
      </w:r>
    </w:p>
    <w:p w14:paraId="375FB70D" w14:textId="77777777" w:rsidR="00280E6A" w:rsidRPr="00280E6A" w:rsidRDefault="00280E6A" w:rsidP="00280E6A">
      <w:r w:rsidRPr="00280E6A">
        <w:t>KEY POINTS</w:t>
      </w:r>
    </w:p>
    <w:p w14:paraId="6DFE4C5B" w14:textId="77777777" w:rsidR="00280E6A" w:rsidRPr="00280E6A" w:rsidRDefault="00280E6A" w:rsidP="00280E6A">
      <w:pPr>
        <w:numPr>
          <w:ilvl w:val="0"/>
          <w:numId w:val="2"/>
        </w:numPr>
      </w:pPr>
      <w:r w:rsidRPr="00280E6A">
        <w:t>Practitioners play a vital role in determining when living in the community is no longer a safe and viable option. Determining the appropriate type of accommodation should be done with the adult as part of the Care and Support Planning process.</w:t>
      </w:r>
    </w:p>
    <w:p w14:paraId="4FC428B5" w14:textId="77777777" w:rsidR="00280E6A" w:rsidRPr="00280E6A" w:rsidRDefault="00280E6A" w:rsidP="00280E6A">
      <w:pPr>
        <w:numPr>
          <w:ilvl w:val="0"/>
          <w:numId w:val="2"/>
        </w:numPr>
      </w:pPr>
      <w:r w:rsidRPr="00280E6A">
        <w:t>The level of support required in a Residential or Nursing environment will be determined by the </w:t>
      </w:r>
      <w:hyperlink r:id="rId5" w:history="1">
        <w:r w:rsidRPr="00280E6A">
          <w:rPr>
            <w:rStyle w:val="Hyperlink"/>
          </w:rPr>
          <w:t>practitioner</w:t>
        </w:r>
      </w:hyperlink>
      <w:r w:rsidRPr="00280E6A">
        <w:t> using the residential care levels and criteria.</w:t>
      </w:r>
    </w:p>
    <w:p w14:paraId="335A8617" w14:textId="77777777" w:rsidR="00280E6A" w:rsidRPr="00280E6A" w:rsidRDefault="00280E6A" w:rsidP="00280E6A">
      <w:pPr>
        <w:numPr>
          <w:ilvl w:val="0"/>
          <w:numId w:val="2"/>
        </w:numPr>
      </w:pPr>
      <w:r w:rsidRPr="00280E6A">
        <w:t>If it has been determined that a person’s needs are best met in a care home, the local authority must provide for the person’s preferred choice of accommodation. The local authority must ensure that the person has a choice and must ensure that at least one option is available and affordable within a person’s </w:t>
      </w:r>
      <w:hyperlink r:id="rId6" w:history="1">
        <w:r w:rsidRPr="00280E6A">
          <w:rPr>
            <w:rStyle w:val="Hyperlink"/>
          </w:rPr>
          <w:t>personal budget</w:t>
        </w:r>
      </w:hyperlink>
      <w:r w:rsidRPr="00280E6A">
        <w:t>.</w:t>
      </w:r>
    </w:p>
    <w:p w14:paraId="32D6EE22" w14:textId="77777777" w:rsidR="00280E6A" w:rsidRPr="00280E6A" w:rsidRDefault="00280E6A" w:rsidP="00280E6A">
      <w:pPr>
        <w:numPr>
          <w:ilvl w:val="0"/>
          <w:numId w:val="2"/>
        </w:numPr>
      </w:pPr>
      <w:r w:rsidRPr="00280E6A">
        <w:t>A person must also be able to choose alternative options, including a more expensive setting, where a third party, or in certain circumstances the resident is willing and able to pay the additional cost (top up).</w:t>
      </w:r>
    </w:p>
    <w:p w14:paraId="7A7A56A7" w14:textId="77777777" w:rsidR="00280E6A" w:rsidRPr="00280E6A" w:rsidRDefault="00280E6A" w:rsidP="00280E6A">
      <w:r w:rsidRPr="00280E6A">
        <w:t>The Association of Directors of Adult Social Services (ADASS) has issued an </w:t>
      </w:r>
      <w:hyperlink r:id="rId7" w:tgtFrame="_blank" w:history="1">
        <w:r w:rsidRPr="00280E6A">
          <w:rPr>
            <w:rStyle w:val="Hyperlink"/>
          </w:rPr>
          <w:t>Advice Note on Commissioning out of Area Care and Support Services</w:t>
        </w:r>
      </w:hyperlink>
      <w:r w:rsidRPr="00280E6A">
        <w:t>.  This advice note should be considered when arranging any care and support outside Lincolnshire.</w:t>
      </w:r>
    </w:p>
    <w:p w14:paraId="425B4FBC" w14:textId="77777777" w:rsidR="00280E6A" w:rsidRPr="00280E6A" w:rsidRDefault="00280E6A" w:rsidP="00280E6A">
      <w:r w:rsidRPr="00280E6A">
        <w:t>CONTENTS</w:t>
      </w:r>
    </w:p>
    <w:p w14:paraId="440EBDEE" w14:textId="77777777" w:rsidR="00280E6A" w:rsidRPr="00280E6A" w:rsidRDefault="00280E6A" w:rsidP="00280E6A">
      <w:pPr>
        <w:numPr>
          <w:ilvl w:val="0"/>
          <w:numId w:val="3"/>
        </w:numPr>
      </w:pPr>
      <w:hyperlink r:id="rId8" w:anchor="1_Residential_Care_Levels_and_Criteria" w:tooltip="1. Residential Care Levels and Criteria" w:history="1">
        <w:r w:rsidRPr="00280E6A">
          <w:rPr>
            <w:rStyle w:val="Hyperlink"/>
          </w:rPr>
          <w:t>1. Residential Care Levels and Criteria</w:t>
        </w:r>
      </w:hyperlink>
    </w:p>
    <w:p w14:paraId="04993D1D" w14:textId="77777777" w:rsidR="00280E6A" w:rsidRPr="00280E6A" w:rsidRDefault="00280E6A" w:rsidP="00280E6A">
      <w:pPr>
        <w:numPr>
          <w:ilvl w:val="1"/>
          <w:numId w:val="3"/>
        </w:numPr>
      </w:pPr>
      <w:hyperlink r:id="rId9" w:anchor="11_Standard_residential_criteria" w:tooltip="1.1 Standard residential criteria" w:history="1">
        <w:r w:rsidRPr="00280E6A">
          <w:rPr>
            <w:rStyle w:val="Hyperlink"/>
          </w:rPr>
          <w:t>1.1 Standard residential criteria</w:t>
        </w:r>
      </w:hyperlink>
    </w:p>
    <w:p w14:paraId="05CA395C" w14:textId="77777777" w:rsidR="00280E6A" w:rsidRPr="00280E6A" w:rsidRDefault="00280E6A" w:rsidP="00280E6A">
      <w:pPr>
        <w:numPr>
          <w:ilvl w:val="1"/>
          <w:numId w:val="3"/>
        </w:numPr>
      </w:pPr>
      <w:hyperlink r:id="rId10" w:anchor="12_High_dependency" w:tooltip="1.2 High dependency" w:history="1">
        <w:r w:rsidRPr="00280E6A">
          <w:rPr>
            <w:rStyle w:val="Hyperlink"/>
          </w:rPr>
          <w:t>1.2 High dependency</w:t>
        </w:r>
      </w:hyperlink>
    </w:p>
    <w:p w14:paraId="3A073E43" w14:textId="77777777" w:rsidR="00280E6A" w:rsidRPr="00280E6A" w:rsidRDefault="00280E6A" w:rsidP="00280E6A">
      <w:pPr>
        <w:numPr>
          <w:ilvl w:val="1"/>
          <w:numId w:val="3"/>
        </w:numPr>
      </w:pPr>
      <w:hyperlink r:id="rId11" w:anchor="13_Nursing_care" w:tooltip="1.3 Nursing care" w:history="1">
        <w:r w:rsidRPr="00280E6A">
          <w:rPr>
            <w:rStyle w:val="Hyperlink"/>
          </w:rPr>
          <w:t>1.3 Nursing care</w:t>
        </w:r>
      </w:hyperlink>
    </w:p>
    <w:p w14:paraId="42EC60E3" w14:textId="77777777" w:rsidR="00280E6A" w:rsidRPr="00280E6A" w:rsidRDefault="00280E6A" w:rsidP="00280E6A">
      <w:pPr>
        <w:numPr>
          <w:ilvl w:val="0"/>
          <w:numId w:val="3"/>
        </w:numPr>
      </w:pPr>
      <w:hyperlink r:id="rId12" w:anchor="2_Temporary_Residency_Short_Term_Care" w:tooltip="2. Temporary Residency (Short Term Care)" w:history="1">
        <w:r w:rsidRPr="00280E6A">
          <w:rPr>
            <w:rStyle w:val="Hyperlink"/>
          </w:rPr>
          <w:t>2. Temporary Residency (Short Term Care)</w:t>
        </w:r>
      </w:hyperlink>
    </w:p>
    <w:p w14:paraId="014DC86C" w14:textId="77777777" w:rsidR="00280E6A" w:rsidRPr="00280E6A" w:rsidRDefault="00280E6A" w:rsidP="00280E6A">
      <w:pPr>
        <w:numPr>
          <w:ilvl w:val="1"/>
          <w:numId w:val="3"/>
        </w:numPr>
      </w:pPr>
      <w:hyperlink r:id="rId13" w:anchor="21_Direct_Payments_short_term_care" w:tooltip="2.1 Direct Payments – short term care" w:history="1">
        <w:r w:rsidRPr="00280E6A">
          <w:rPr>
            <w:rStyle w:val="Hyperlink"/>
          </w:rPr>
          <w:t>2.1 Direct Payments – short term care</w:t>
        </w:r>
      </w:hyperlink>
    </w:p>
    <w:p w14:paraId="200E968D" w14:textId="77777777" w:rsidR="00280E6A" w:rsidRPr="00280E6A" w:rsidRDefault="00280E6A" w:rsidP="00280E6A">
      <w:pPr>
        <w:numPr>
          <w:ilvl w:val="0"/>
          <w:numId w:val="3"/>
        </w:numPr>
      </w:pPr>
      <w:hyperlink r:id="rId14" w:anchor="3_Permanent_Residency_Long_Term_Care" w:tooltip="3. Permanent Residency (Long Term Care)" w:history="1">
        <w:r w:rsidRPr="00280E6A">
          <w:rPr>
            <w:rStyle w:val="Hyperlink"/>
          </w:rPr>
          <w:t>3. Permanent Residency (Long Term Care)</w:t>
        </w:r>
      </w:hyperlink>
    </w:p>
    <w:p w14:paraId="6AB2655B" w14:textId="77777777" w:rsidR="00280E6A" w:rsidRPr="00280E6A" w:rsidRDefault="00280E6A" w:rsidP="00280E6A">
      <w:pPr>
        <w:numPr>
          <w:ilvl w:val="1"/>
          <w:numId w:val="3"/>
        </w:numPr>
      </w:pPr>
      <w:hyperlink r:id="rId15" w:anchor="31_Choice_of_accommodation" w:tooltip="3.1 Choice of accommodation" w:history="1">
        <w:r w:rsidRPr="00280E6A">
          <w:rPr>
            <w:rStyle w:val="Hyperlink"/>
          </w:rPr>
          <w:t>3.1 Choice of accommodation</w:t>
        </w:r>
      </w:hyperlink>
    </w:p>
    <w:p w14:paraId="58E739FF" w14:textId="77777777" w:rsidR="00280E6A" w:rsidRPr="00280E6A" w:rsidRDefault="00280E6A" w:rsidP="00280E6A">
      <w:pPr>
        <w:numPr>
          <w:ilvl w:val="1"/>
          <w:numId w:val="3"/>
        </w:numPr>
      </w:pPr>
      <w:hyperlink r:id="rId16" w:anchor="32_Direct_Payments_permanent_residency_long_term_care" w:tooltip="3.2 Direct Payments: permanent residency (long term care)" w:history="1">
        <w:r w:rsidRPr="00280E6A">
          <w:rPr>
            <w:rStyle w:val="Hyperlink"/>
          </w:rPr>
          <w:t>3.2 Direct Payments: permanent residency (long term care)</w:t>
        </w:r>
      </w:hyperlink>
    </w:p>
    <w:p w14:paraId="39A8DD61" w14:textId="77777777" w:rsidR="00280E6A" w:rsidRPr="00280E6A" w:rsidRDefault="00280E6A" w:rsidP="00280E6A">
      <w:pPr>
        <w:numPr>
          <w:ilvl w:val="0"/>
          <w:numId w:val="3"/>
        </w:numPr>
      </w:pPr>
      <w:hyperlink r:id="rId17" w:anchor="4_Permanent_Residency_Long_Term_Placement_Verification" w:tooltip="4. Permanent Residency (Long Term Placement) Verification" w:history="1">
        <w:r w:rsidRPr="00280E6A">
          <w:rPr>
            <w:rStyle w:val="Hyperlink"/>
          </w:rPr>
          <w:t>4. Permanent Residency (Long Term Placement) Verification</w:t>
        </w:r>
      </w:hyperlink>
    </w:p>
    <w:p w14:paraId="1E41A1BD" w14:textId="77777777" w:rsidR="00280E6A" w:rsidRPr="00280E6A" w:rsidRDefault="00280E6A" w:rsidP="00280E6A">
      <w:pPr>
        <w:numPr>
          <w:ilvl w:val="0"/>
          <w:numId w:val="3"/>
        </w:numPr>
      </w:pPr>
      <w:hyperlink r:id="rId18" w:anchor="5_Contributing_to_residential_care" w:tooltip="5. Contributing to residential care" w:history="1">
        <w:r w:rsidRPr="00280E6A">
          <w:rPr>
            <w:rStyle w:val="Hyperlink"/>
          </w:rPr>
          <w:t>5. Contributing to residential care</w:t>
        </w:r>
      </w:hyperlink>
    </w:p>
    <w:p w14:paraId="56E69EC9" w14:textId="77777777" w:rsidR="00280E6A" w:rsidRPr="00280E6A" w:rsidRDefault="00280E6A" w:rsidP="00280E6A">
      <w:pPr>
        <w:numPr>
          <w:ilvl w:val="1"/>
          <w:numId w:val="3"/>
        </w:numPr>
      </w:pPr>
      <w:hyperlink r:id="rId19" w:anchor="51_Third_partytop_ups" w:tooltip="5.1 Third party top ups" w:history="1">
        <w:r w:rsidRPr="00280E6A">
          <w:rPr>
            <w:rStyle w:val="Hyperlink"/>
          </w:rPr>
          <w:t>5.1 Third party top ups</w:t>
        </w:r>
      </w:hyperlink>
    </w:p>
    <w:p w14:paraId="686657AA" w14:textId="77777777" w:rsidR="00280E6A" w:rsidRPr="00280E6A" w:rsidRDefault="00280E6A" w:rsidP="00280E6A">
      <w:pPr>
        <w:numPr>
          <w:ilvl w:val="0"/>
          <w:numId w:val="3"/>
        </w:numPr>
      </w:pPr>
      <w:hyperlink r:id="rId20" w:anchor="6_Out_of_County_Placements" w:tooltip="6. Out of County Placements" w:history="1">
        <w:r w:rsidRPr="00280E6A">
          <w:rPr>
            <w:rStyle w:val="Hyperlink"/>
          </w:rPr>
          <w:t>6. Out of County Placements</w:t>
        </w:r>
      </w:hyperlink>
    </w:p>
    <w:p w14:paraId="393DFC02" w14:textId="77777777" w:rsidR="00280E6A" w:rsidRPr="00280E6A" w:rsidRDefault="00280E6A" w:rsidP="00280E6A">
      <w:pPr>
        <w:numPr>
          <w:ilvl w:val="1"/>
          <w:numId w:val="3"/>
        </w:numPr>
      </w:pPr>
      <w:hyperlink r:id="rId21" w:anchor="61_Placements_in_Scotland" w:tooltip="6.1 Placements in Scotland" w:history="1">
        <w:r w:rsidRPr="00280E6A">
          <w:rPr>
            <w:rStyle w:val="Hyperlink"/>
          </w:rPr>
          <w:t>6.1 Placements in Scotland</w:t>
        </w:r>
      </w:hyperlink>
    </w:p>
    <w:p w14:paraId="19F9BE1B" w14:textId="77777777" w:rsidR="00280E6A" w:rsidRPr="00280E6A" w:rsidRDefault="00280E6A" w:rsidP="00280E6A">
      <w:pPr>
        <w:numPr>
          <w:ilvl w:val="1"/>
          <w:numId w:val="3"/>
        </w:numPr>
      </w:pPr>
      <w:hyperlink r:id="rId22" w:anchor="62_Planning_and_lead_times" w:tooltip="6.2 Planning and lead times" w:history="1">
        <w:r w:rsidRPr="00280E6A">
          <w:rPr>
            <w:rStyle w:val="Hyperlink"/>
          </w:rPr>
          <w:t>6.2 Planning and lead times</w:t>
        </w:r>
      </w:hyperlink>
    </w:p>
    <w:p w14:paraId="1CFEE26F" w14:textId="77777777" w:rsidR="00280E6A" w:rsidRPr="00280E6A" w:rsidRDefault="00280E6A" w:rsidP="00280E6A">
      <w:pPr>
        <w:numPr>
          <w:ilvl w:val="1"/>
          <w:numId w:val="3"/>
        </w:numPr>
      </w:pPr>
      <w:hyperlink r:id="rId23" w:anchor="63_Room_availability_and_home_registration" w:tooltip="6.3 Room availability and home registration" w:history="1">
        <w:r w:rsidRPr="00280E6A">
          <w:rPr>
            <w:rStyle w:val="Hyperlink"/>
          </w:rPr>
          <w:t>6.3 Room availability and home registration</w:t>
        </w:r>
      </w:hyperlink>
    </w:p>
    <w:p w14:paraId="794180E1" w14:textId="77777777" w:rsidR="00280E6A" w:rsidRPr="00280E6A" w:rsidRDefault="00280E6A" w:rsidP="00280E6A">
      <w:pPr>
        <w:numPr>
          <w:ilvl w:val="1"/>
          <w:numId w:val="3"/>
        </w:numPr>
      </w:pPr>
      <w:hyperlink r:id="rId24" w:anchor="64_Determine_price_of_bed" w:tooltip="6.4 Determine price of bed" w:history="1">
        <w:r w:rsidRPr="00280E6A">
          <w:rPr>
            <w:rStyle w:val="Hyperlink"/>
          </w:rPr>
          <w:t>6.4 Determine price of bed</w:t>
        </w:r>
      </w:hyperlink>
    </w:p>
    <w:p w14:paraId="60FA3FA8" w14:textId="77777777" w:rsidR="00280E6A" w:rsidRPr="00280E6A" w:rsidRDefault="00280E6A" w:rsidP="00280E6A">
      <w:pPr>
        <w:numPr>
          <w:ilvl w:val="1"/>
          <w:numId w:val="3"/>
        </w:numPr>
      </w:pPr>
      <w:hyperlink r:id="rId25" w:anchor="65_Issue_contract_documentation_and_complete_Pro_Forma_part_1" w:tooltip="6.5 Issue contract documentation and complete Pro Forma part 1" w:history="1">
        <w:r w:rsidRPr="00280E6A">
          <w:rPr>
            <w:rStyle w:val="Hyperlink"/>
          </w:rPr>
          <w:t>6.5 Issue contract documentation and complete Pro Forma part 1</w:t>
        </w:r>
      </w:hyperlink>
    </w:p>
    <w:p w14:paraId="7B68FD0C" w14:textId="77777777" w:rsidR="00280E6A" w:rsidRPr="00280E6A" w:rsidRDefault="00280E6A" w:rsidP="00280E6A">
      <w:pPr>
        <w:numPr>
          <w:ilvl w:val="1"/>
          <w:numId w:val="3"/>
        </w:numPr>
      </w:pPr>
      <w:hyperlink r:id="rId26" w:anchor="66_References_and_Care_Quality_Commission_CQC_Inspection_Reports" w:tooltip="6.6 References and Care Quality Commission (CQC) Inspection Reports" w:history="1">
        <w:r w:rsidRPr="00280E6A">
          <w:rPr>
            <w:rStyle w:val="Hyperlink"/>
          </w:rPr>
          <w:t>6.6 References and Care Quality Commission (CQC) Inspection Reports</w:t>
        </w:r>
      </w:hyperlink>
    </w:p>
    <w:p w14:paraId="05C0C094" w14:textId="77777777" w:rsidR="00280E6A" w:rsidRPr="00280E6A" w:rsidRDefault="00280E6A" w:rsidP="00280E6A">
      <w:pPr>
        <w:numPr>
          <w:ilvl w:val="1"/>
          <w:numId w:val="3"/>
        </w:numPr>
      </w:pPr>
      <w:hyperlink r:id="rId27" w:anchor="67_Confirmation_of_placement" w:tooltip="6.7 Confirmation of placement" w:history="1">
        <w:r w:rsidRPr="00280E6A">
          <w:rPr>
            <w:rStyle w:val="Hyperlink"/>
          </w:rPr>
          <w:t>6.7 Confirmation of placement</w:t>
        </w:r>
      </w:hyperlink>
    </w:p>
    <w:p w14:paraId="4EA8B41F" w14:textId="77777777" w:rsidR="00280E6A" w:rsidRPr="00280E6A" w:rsidRDefault="00280E6A" w:rsidP="00280E6A">
      <w:pPr>
        <w:numPr>
          <w:ilvl w:val="1"/>
          <w:numId w:val="3"/>
        </w:numPr>
      </w:pPr>
      <w:hyperlink r:id="rId28" w:anchor="68_Pro_Forma_part_2" w:tooltip="6.8 Pro Forma part 2" w:history="1">
        <w:r w:rsidRPr="00280E6A">
          <w:rPr>
            <w:rStyle w:val="Hyperlink"/>
          </w:rPr>
          <w:t>6.8 Pro Forma part 2</w:t>
        </w:r>
      </w:hyperlink>
    </w:p>
    <w:p w14:paraId="3912F89B" w14:textId="77777777" w:rsidR="00280E6A" w:rsidRPr="00280E6A" w:rsidRDefault="00280E6A" w:rsidP="00280E6A">
      <w:pPr>
        <w:numPr>
          <w:ilvl w:val="1"/>
          <w:numId w:val="3"/>
        </w:numPr>
      </w:pPr>
      <w:hyperlink r:id="rId29" w:anchor="69_Authorisation" w:tooltip="6.9 Authorisation" w:history="1">
        <w:r w:rsidRPr="00280E6A">
          <w:rPr>
            <w:rStyle w:val="Hyperlink"/>
          </w:rPr>
          <w:t>6.9 Authorisation</w:t>
        </w:r>
      </w:hyperlink>
    </w:p>
    <w:p w14:paraId="27D82901" w14:textId="77777777" w:rsidR="00280E6A" w:rsidRPr="00280E6A" w:rsidRDefault="00280E6A" w:rsidP="00280E6A">
      <w:pPr>
        <w:numPr>
          <w:ilvl w:val="1"/>
          <w:numId w:val="3"/>
        </w:numPr>
      </w:pPr>
      <w:hyperlink r:id="rId30" w:anchor="610_Funding_of_out_of_county_placements" w:tooltip="6.10 Funding of out of county placements" w:history="1">
        <w:r w:rsidRPr="00280E6A">
          <w:rPr>
            <w:rStyle w:val="Hyperlink"/>
          </w:rPr>
          <w:t>6.10 Funding of out of county placements</w:t>
        </w:r>
      </w:hyperlink>
    </w:p>
    <w:p w14:paraId="2AA9C4E9" w14:textId="77777777" w:rsidR="00280E6A" w:rsidRPr="00280E6A" w:rsidRDefault="00280E6A" w:rsidP="00280E6A">
      <w:pPr>
        <w:numPr>
          <w:ilvl w:val="0"/>
          <w:numId w:val="3"/>
        </w:numPr>
      </w:pPr>
      <w:hyperlink r:id="rId31" w:anchor="7_Adult_Social_Care_Staff_Visiting_Care_Homes" w:tooltip="7. Adult Social Care Staff Visiting Care Homes" w:history="1">
        <w:r w:rsidRPr="00280E6A">
          <w:rPr>
            <w:rStyle w:val="Hyperlink"/>
          </w:rPr>
          <w:t>7. Adult Social Care Staff Visiting Care Homes</w:t>
        </w:r>
      </w:hyperlink>
    </w:p>
    <w:p w14:paraId="4DF3E54D" w14:textId="77777777" w:rsidR="00280E6A" w:rsidRPr="00280E6A" w:rsidRDefault="00280E6A" w:rsidP="00280E6A">
      <w:pPr>
        <w:numPr>
          <w:ilvl w:val="1"/>
          <w:numId w:val="3"/>
        </w:numPr>
      </w:pPr>
      <w:hyperlink r:id="rId32" w:anchor="71_Introduction" w:tooltip="7.1 Introduction" w:history="1">
        <w:r w:rsidRPr="00280E6A">
          <w:rPr>
            <w:rStyle w:val="Hyperlink"/>
          </w:rPr>
          <w:t>7.1 Introduction</w:t>
        </w:r>
      </w:hyperlink>
    </w:p>
    <w:p w14:paraId="20B09FD4" w14:textId="77777777" w:rsidR="00280E6A" w:rsidRPr="00280E6A" w:rsidRDefault="00280E6A" w:rsidP="00280E6A">
      <w:pPr>
        <w:numPr>
          <w:ilvl w:val="1"/>
          <w:numId w:val="3"/>
        </w:numPr>
      </w:pPr>
      <w:hyperlink r:id="rId33" w:anchor="72_Guidance_for_Registered_Persons" w:tooltip="7.2 Guidance for Registered Persons" w:history="1">
        <w:r w:rsidRPr="00280E6A">
          <w:rPr>
            <w:rStyle w:val="Hyperlink"/>
          </w:rPr>
          <w:t>7.2 Guidance for Registered Persons</w:t>
        </w:r>
      </w:hyperlink>
    </w:p>
    <w:p w14:paraId="32F04E39" w14:textId="77777777" w:rsidR="00280E6A" w:rsidRPr="00280E6A" w:rsidRDefault="00280E6A" w:rsidP="00280E6A">
      <w:pPr>
        <w:numPr>
          <w:ilvl w:val="1"/>
          <w:numId w:val="3"/>
        </w:numPr>
      </w:pPr>
      <w:hyperlink r:id="rId34" w:anchor="73_Demonstrating_Vaccination_Status" w:tooltip="7.3 Demonstrating Vaccination Status" w:history="1">
        <w:r w:rsidRPr="00280E6A">
          <w:rPr>
            <w:rStyle w:val="Hyperlink"/>
          </w:rPr>
          <w:t>7.3 Demonstrating Vaccination Status</w:t>
        </w:r>
      </w:hyperlink>
    </w:p>
    <w:p w14:paraId="47F5C21D" w14:textId="77777777" w:rsidR="00280E6A" w:rsidRPr="00280E6A" w:rsidRDefault="00280E6A" w:rsidP="00280E6A">
      <w:pPr>
        <w:numPr>
          <w:ilvl w:val="1"/>
          <w:numId w:val="3"/>
        </w:numPr>
      </w:pPr>
      <w:hyperlink r:id="rId35" w:anchor="74_Record_Keeping" w:tooltip="7.4 Record Keeping" w:history="1">
        <w:r w:rsidRPr="00280E6A">
          <w:rPr>
            <w:rStyle w:val="Hyperlink"/>
          </w:rPr>
          <w:t>7.4 Record Keeping</w:t>
        </w:r>
      </w:hyperlink>
    </w:p>
    <w:p w14:paraId="3A24B178" w14:textId="77777777" w:rsidR="00280E6A" w:rsidRPr="00280E6A" w:rsidRDefault="00280E6A" w:rsidP="00280E6A">
      <w:pPr>
        <w:numPr>
          <w:ilvl w:val="1"/>
          <w:numId w:val="3"/>
        </w:numPr>
      </w:pPr>
      <w:hyperlink r:id="rId36" w:anchor="75_Medical_Exemptions" w:tooltip="7.5 Medical Exemptions" w:history="1">
        <w:r w:rsidRPr="00280E6A">
          <w:rPr>
            <w:rStyle w:val="Hyperlink"/>
          </w:rPr>
          <w:t>7.5 Medical Exemptions</w:t>
        </w:r>
      </w:hyperlink>
    </w:p>
    <w:p w14:paraId="2CB927C1" w14:textId="77777777" w:rsidR="00280E6A" w:rsidRPr="00280E6A" w:rsidRDefault="00280E6A" w:rsidP="00280E6A">
      <w:pPr>
        <w:numPr>
          <w:ilvl w:val="1"/>
          <w:numId w:val="3"/>
        </w:numPr>
      </w:pPr>
      <w:hyperlink r:id="rId37" w:anchor="76_Reducing_Risk_of_Transmission" w:tooltip="7.6 Reducing Risk of Transmission" w:history="1">
        <w:r w:rsidRPr="00280E6A">
          <w:rPr>
            <w:rStyle w:val="Hyperlink"/>
          </w:rPr>
          <w:t>7.6 Reducing Risk of Transmission</w:t>
        </w:r>
      </w:hyperlink>
    </w:p>
    <w:p w14:paraId="5636E4D0" w14:textId="77777777" w:rsidR="00280E6A" w:rsidRPr="00280E6A" w:rsidRDefault="00280E6A" w:rsidP="00280E6A">
      <w:pPr>
        <w:rPr>
          <w:b/>
          <w:bCs/>
        </w:rPr>
      </w:pPr>
      <w:r w:rsidRPr="00280E6A">
        <w:rPr>
          <w:b/>
          <w:bCs/>
        </w:rPr>
        <w:t>1. Residential Care Levels and Criteria</w:t>
      </w:r>
    </w:p>
    <w:p w14:paraId="12F4E744" w14:textId="77777777" w:rsidR="00280E6A" w:rsidRPr="00280E6A" w:rsidRDefault="00280E6A" w:rsidP="00280E6A">
      <w:r w:rsidRPr="00280E6A">
        <w:t>For some people, living in the community is not a safe and viable option. Residential care provides a safe environment in which to live when all aspects of support in the community have been exhausted.</w:t>
      </w:r>
    </w:p>
    <w:p w14:paraId="5858DE2A" w14:textId="77777777" w:rsidR="00280E6A" w:rsidRPr="00280E6A" w:rsidRDefault="00280E6A" w:rsidP="00280E6A">
      <w:r w:rsidRPr="00280E6A">
        <w:t>Assessors will need to determine the level of care needed using the criteria below and the outcome of Continuing Healthcare Assessments.</w:t>
      </w:r>
    </w:p>
    <w:p w14:paraId="644FCF84" w14:textId="77777777" w:rsidR="00280E6A" w:rsidRPr="00280E6A" w:rsidRDefault="00280E6A" w:rsidP="00280E6A">
      <w:r w:rsidRPr="00280E6A">
        <w:t>Lincolnshire County Council contracts with residential care homes based on three standard levels of need, each with a standard </w:t>
      </w:r>
      <w:hyperlink r:id="rId38" w:history="1">
        <w:r w:rsidRPr="00280E6A">
          <w:rPr>
            <w:rStyle w:val="Hyperlink"/>
          </w:rPr>
          <w:t>expected cost</w:t>
        </w:r>
      </w:hyperlink>
      <w:r w:rsidRPr="00280E6A">
        <w:t>. The three levels of need are:</w:t>
      </w:r>
    </w:p>
    <w:p w14:paraId="64D8E81F" w14:textId="77777777" w:rsidR="00280E6A" w:rsidRPr="00280E6A" w:rsidRDefault="00280E6A" w:rsidP="00280E6A">
      <w:pPr>
        <w:numPr>
          <w:ilvl w:val="0"/>
          <w:numId w:val="4"/>
        </w:numPr>
      </w:pPr>
      <w:r w:rsidRPr="00280E6A">
        <w:t xml:space="preserve">Standard </w:t>
      </w:r>
      <w:proofErr w:type="gramStart"/>
      <w:r w:rsidRPr="00280E6A">
        <w:t>Residential;</w:t>
      </w:r>
      <w:proofErr w:type="gramEnd"/>
    </w:p>
    <w:p w14:paraId="704DE00D" w14:textId="77777777" w:rsidR="00280E6A" w:rsidRPr="00280E6A" w:rsidRDefault="00280E6A" w:rsidP="00280E6A">
      <w:pPr>
        <w:numPr>
          <w:ilvl w:val="0"/>
          <w:numId w:val="4"/>
        </w:numPr>
      </w:pPr>
      <w:r w:rsidRPr="00280E6A">
        <w:t xml:space="preserve">High </w:t>
      </w:r>
      <w:proofErr w:type="gramStart"/>
      <w:r w:rsidRPr="00280E6A">
        <w:t>Dependency;</w:t>
      </w:r>
      <w:proofErr w:type="gramEnd"/>
    </w:p>
    <w:p w14:paraId="7699370C" w14:textId="77777777" w:rsidR="00280E6A" w:rsidRPr="00280E6A" w:rsidRDefault="00280E6A" w:rsidP="00280E6A">
      <w:pPr>
        <w:numPr>
          <w:ilvl w:val="0"/>
          <w:numId w:val="4"/>
        </w:numPr>
      </w:pPr>
      <w:r w:rsidRPr="00280E6A">
        <w:t>Nursing Care.</w:t>
      </w:r>
    </w:p>
    <w:p w14:paraId="6EE1CFF3" w14:textId="77777777" w:rsidR="00280E6A" w:rsidRPr="00280E6A" w:rsidRDefault="00280E6A" w:rsidP="00280E6A">
      <w:pPr>
        <w:rPr>
          <w:b/>
          <w:bCs/>
        </w:rPr>
      </w:pPr>
      <w:r w:rsidRPr="00280E6A">
        <w:rPr>
          <w:b/>
          <w:bCs/>
        </w:rPr>
        <w:t>1.1 Standard residential criteria</w:t>
      </w:r>
    </w:p>
    <w:p w14:paraId="67F3A293" w14:textId="77777777" w:rsidR="00280E6A" w:rsidRPr="00280E6A" w:rsidRDefault="00280E6A" w:rsidP="00280E6A">
      <w:r w:rsidRPr="00280E6A">
        <w:t>Points 1, and either 2, 3 or 4 below must apply to the individual to satisfy the criteria for residential home care.</w:t>
      </w:r>
    </w:p>
    <w:p w14:paraId="08B0C0A4" w14:textId="77777777" w:rsidR="00280E6A" w:rsidRPr="00280E6A" w:rsidRDefault="00280E6A" w:rsidP="00280E6A">
      <w:r w:rsidRPr="00280E6A">
        <w:t>Maintenance in the community is no longer a viable option because:</w:t>
      </w:r>
    </w:p>
    <w:p w14:paraId="7FDB01E1" w14:textId="77777777" w:rsidR="00280E6A" w:rsidRPr="00280E6A" w:rsidRDefault="00280E6A" w:rsidP="00280E6A">
      <w:pPr>
        <w:numPr>
          <w:ilvl w:val="0"/>
          <w:numId w:val="5"/>
        </w:numPr>
      </w:pPr>
      <w:r w:rsidRPr="00280E6A">
        <w:rPr>
          <w:b/>
          <w:bCs/>
        </w:rPr>
        <w:t>Network support / </w:t>
      </w:r>
      <w:hyperlink r:id="rId39" w:history="1">
        <w:r w:rsidRPr="00280E6A">
          <w:rPr>
            <w:rStyle w:val="Hyperlink"/>
            <w:b/>
            <w:bCs/>
          </w:rPr>
          <w:t>carer</w:t>
        </w:r>
      </w:hyperlink>
      <w:r w:rsidRPr="00280E6A">
        <w:rPr>
          <w:b/>
          <w:bCs/>
        </w:rPr>
        <w:t> function:</w:t>
      </w:r>
      <w:r w:rsidRPr="00280E6A">
        <w:t> Breakdown of care, domestic or environmental functions, and support systems cannot be sustained. Community support is inadequate, for example existing accommodation is insufficient to meet the need, or isolated location without access to local services.</w:t>
      </w:r>
      <w:r w:rsidRPr="00280E6A">
        <w:br/>
        <w:t>The person or carer networks are unable or unwilling to sustain the environment creating unacceptable levels of risk to self and others.</w:t>
      </w:r>
    </w:p>
    <w:p w14:paraId="0FE41EAF" w14:textId="77777777" w:rsidR="00280E6A" w:rsidRPr="00280E6A" w:rsidRDefault="00280E6A" w:rsidP="00280E6A">
      <w:pPr>
        <w:numPr>
          <w:ilvl w:val="0"/>
          <w:numId w:val="5"/>
        </w:numPr>
      </w:pPr>
      <w:r w:rsidRPr="00280E6A">
        <w:rPr>
          <w:b/>
          <w:bCs/>
        </w:rPr>
        <w:t>Individual ability:</w:t>
      </w:r>
      <w:r w:rsidRPr="00280E6A">
        <w:t> The person lacks the ability to carry out personal care tasks which would allow them to remain in their own homes and their health or welfare is seriously at risk if a care home placement is not provided.</w:t>
      </w:r>
    </w:p>
    <w:p w14:paraId="3D79E27C" w14:textId="77777777" w:rsidR="00280E6A" w:rsidRPr="00280E6A" w:rsidRDefault="00280E6A" w:rsidP="00280E6A">
      <w:pPr>
        <w:numPr>
          <w:ilvl w:val="0"/>
          <w:numId w:val="5"/>
        </w:numPr>
      </w:pPr>
      <w:r w:rsidRPr="00280E6A">
        <w:rPr>
          <w:b/>
          <w:bCs/>
        </w:rPr>
        <w:t>Individual motivation:</w:t>
      </w:r>
      <w:r w:rsidRPr="00280E6A">
        <w:t> The person lacks appropriate motivation to care for themselves under their present circumstances and their health or welfare is seriously at risk if residential home care is not provided.</w:t>
      </w:r>
    </w:p>
    <w:p w14:paraId="07F290C2" w14:textId="77777777" w:rsidR="00280E6A" w:rsidRPr="00280E6A" w:rsidRDefault="00280E6A" w:rsidP="00280E6A">
      <w:pPr>
        <w:numPr>
          <w:ilvl w:val="0"/>
          <w:numId w:val="5"/>
        </w:numPr>
      </w:pPr>
      <w:r w:rsidRPr="00280E6A">
        <w:rPr>
          <w:b/>
          <w:bCs/>
        </w:rPr>
        <w:t>Individual behaviour:</w:t>
      </w:r>
      <w:r w:rsidRPr="00280E6A">
        <w:t> The person’s behaviour is such that their health or welfare is seriously at risk if residential care is not provided.</w:t>
      </w:r>
    </w:p>
    <w:p w14:paraId="7FA8108E" w14:textId="77777777" w:rsidR="00280E6A" w:rsidRPr="00280E6A" w:rsidRDefault="00280E6A" w:rsidP="00280E6A">
      <w:pPr>
        <w:rPr>
          <w:b/>
          <w:bCs/>
        </w:rPr>
      </w:pPr>
      <w:r w:rsidRPr="00280E6A">
        <w:rPr>
          <w:b/>
          <w:bCs/>
        </w:rPr>
        <w:t>1.2 High dependency</w:t>
      </w:r>
    </w:p>
    <w:p w14:paraId="6D900C9F" w14:textId="77777777" w:rsidR="00280E6A" w:rsidRPr="00280E6A" w:rsidRDefault="00280E6A" w:rsidP="00280E6A">
      <w:r w:rsidRPr="00280E6A">
        <w:t>Older people who meet the requirements for standard personal care in a care home and have one or more of the following characteristics, necessitating additional staff input as the result of a specific and substantial condition:</w:t>
      </w:r>
    </w:p>
    <w:p w14:paraId="4A412579" w14:textId="77777777" w:rsidR="00280E6A" w:rsidRPr="00280E6A" w:rsidRDefault="00280E6A" w:rsidP="00280E6A">
      <w:pPr>
        <w:numPr>
          <w:ilvl w:val="0"/>
          <w:numId w:val="6"/>
        </w:numPr>
      </w:pPr>
      <w:r w:rsidRPr="00280E6A">
        <w:t xml:space="preserve">problem of mobility, requiring two staff on </w:t>
      </w:r>
      <w:proofErr w:type="gramStart"/>
      <w:r w:rsidRPr="00280E6A">
        <w:t>the majority of</w:t>
      </w:r>
      <w:proofErr w:type="gramEnd"/>
      <w:r w:rsidRPr="00280E6A">
        <w:t xml:space="preserve"> occasions to help with activities such as getting up or going to the </w:t>
      </w:r>
      <w:proofErr w:type="gramStart"/>
      <w:r w:rsidRPr="00280E6A">
        <w:t>toilet;</w:t>
      </w:r>
      <w:proofErr w:type="gramEnd"/>
    </w:p>
    <w:p w14:paraId="40477A95" w14:textId="77777777" w:rsidR="00280E6A" w:rsidRPr="00280E6A" w:rsidRDefault="00280E6A" w:rsidP="00280E6A">
      <w:pPr>
        <w:numPr>
          <w:ilvl w:val="0"/>
          <w:numId w:val="6"/>
        </w:numPr>
      </w:pPr>
      <w:r w:rsidRPr="00280E6A">
        <w:t xml:space="preserve">degrees of wandering, especially at night, and physical frailty that places the person at unacceptable risk, which requires particularly close </w:t>
      </w:r>
      <w:proofErr w:type="gramStart"/>
      <w:r w:rsidRPr="00280E6A">
        <w:t>supervision;</w:t>
      </w:r>
      <w:proofErr w:type="gramEnd"/>
    </w:p>
    <w:p w14:paraId="113687FD" w14:textId="77777777" w:rsidR="00280E6A" w:rsidRPr="00280E6A" w:rsidRDefault="00280E6A" w:rsidP="00280E6A">
      <w:pPr>
        <w:numPr>
          <w:ilvl w:val="0"/>
          <w:numId w:val="6"/>
        </w:numPr>
      </w:pPr>
      <w:r w:rsidRPr="00280E6A">
        <w:t>behaviour which has not responded to staff and professional intervention which, if not supported by staff presence or input, would have an adverse effect for self or other residents.</w:t>
      </w:r>
    </w:p>
    <w:p w14:paraId="740BB0ED" w14:textId="77777777" w:rsidR="00280E6A" w:rsidRPr="00280E6A" w:rsidRDefault="00280E6A" w:rsidP="00280E6A">
      <w:pPr>
        <w:rPr>
          <w:b/>
          <w:bCs/>
        </w:rPr>
      </w:pPr>
      <w:r w:rsidRPr="00280E6A">
        <w:rPr>
          <w:b/>
          <w:bCs/>
        </w:rPr>
        <w:t>1.3 Nursing care</w:t>
      </w:r>
    </w:p>
    <w:p w14:paraId="7F8F60E4" w14:textId="77777777" w:rsidR="00280E6A" w:rsidRPr="00280E6A" w:rsidRDefault="00280E6A" w:rsidP="00280E6A">
      <w:r w:rsidRPr="00280E6A">
        <w:t>In addition to meeting the requirements of residential care, the individual will need to have a nursing assessment, as detailed in the </w:t>
      </w:r>
      <w:hyperlink r:id="rId40" w:history="1">
        <w:r w:rsidRPr="00280E6A">
          <w:rPr>
            <w:rStyle w:val="Hyperlink"/>
          </w:rPr>
          <w:t>NHS Continuing Healthcare (CHC) section, </w:t>
        </w:r>
      </w:hyperlink>
      <w:r w:rsidRPr="00280E6A">
        <w:t>which indicates the need for care which can only be provided in a nursing home setting.</w:t>
      </w:r>
    </w:p>
    <w:p w14:paraId="3A850124" w14:textId="77777777" w:rsidR="00280E6A" w:rsidRPr="00280E6A" w:rsidRDefault="00280E6A" w:rsidP="00280E6A">
      <w:pPr>
        <w:numPr>
          <w:ilvl w:val="0"/>
          <w:numId w:val="7"/>
        </w:numPr>
      </w:pPr>
      <w:r w:rsidRPr="00280E6A">
        <w:t>Clinical nursing intervention is necessary 2.5 hours daily and the period of intervention exceeds 2 weeks in duration.</w:t>
      </w:r>
    </w:p>
    <w:p w14:paraId="1B8994BA" w14:textId="77777777" w:rsidR="00280E6A" w:rsidRPr="00280E6A" w:rsidRDefault="00280E6A" w:rsidP="00280E6A">
      <w:pPr>
        <w:numPr>
          <w:ilvl w:val="0"/>
          <w:numId w:val="7"/>
        </w:numPr>
      </w:pPr>
      <w:r w:rsidRPr="00280E6A">
        <w:t xml:space="preserve">Where a person’s general health has deteriorated to a level that needs constant nursing care or where a person’s health is such that one or more of the following procedures is required periodically </w:t>
      </w:r>
      <w:proofErr w:type="gramStart"/>
      <w:r w:rsidRPr="00280E6A">
        <w:t>during</w:t>
      </w:r>
      <w:proofErr w:type="gramEnd"/>
      <w:r w:rsidRPr="00280E6A">
        <w:t xml:space="preserve"> 24 hours:</w:t>
      </w:r>
    </w:p>
    <w:p w14:paraId="081B6476" w14:textId="77777777" w:rsidR="00280E6A" w:rsidRPr="00280E6A" w:rsidRDefault="00280E6A" w:rsidP="00280E6A">
      <w:pPr>
        <w:numPr>
          <w:ilvl w:val="1"/>
          <w:numId w:val="7"/>
        </w:numPr>
      </w:pPr>
      <w:r w:rsidRPr="00280E6A">
        <w:t xml:space="preserve">administration of medication by </w:t>
      </w:r>
      <w:proofErr w:type="gramStart"/>
      <w:r w:rsidRPr="00280E6A">
        <w:t>injection;</w:t>
      </w:r>
      <w:proofErr w:type="gramEnd"/>
    </w:p>
    <w:p w14:paraId="1DE9C1E2" w14:textId="77777777" w:rsidR="00280E6A" w:rsidRPr="00280E6A" w:rsidRDefault="00280E6A" w:rsidP="00280E6A">
      <w:pPr>
        <w:numPr>
          <w:ilvl w:val="1"/>
          <w:numId w:val="7"/>
        </w:numPr>
      </w:pPr>
      <w:r w:rsidRPr="00280E6A">
        <w:t xml:space="preserve">dressing to an open or closed </w:t>
      </w:r>
      <w:proofErr w:type="gramStart"/>
      <w:r w:rsidRPr="00280E6A">
        <w:t>wound;</w:t>
      </w:r>
      <w:proofErr w:type="gramEnd"/>
    </w:p>
    <w:p w14:paraId="2BBFCBBA" w14:textId="77777777" w:rsidR="00280E6A" w:rsidRPr="00280E6A" w:rsidRDefault="00280E6A" w:rsidP="00280E6A">
      <w:pPr>
        <w:numPr>
          <w:ilvl w:val="1"/>
          <w:numId w:val="7"/>
        </w:numPr>
      </w:pPr>
      <w:r w:rsidRPr="00280E6A">
        <w:t xml:space="preserve">feeding requiring nursing </w:t>
      </w:r>
      <w:proofErr w:type="gramStart"/>
      <w:r w:rsidRPr="00280E6A">
        <w:t>skills;</w:t>
      </w:r>
      <w:proofErr w:type="gramEnd"/>
    </w:p>
    <w:p w14:paraId="77F76320" w14:textId="77777777" w:rsidR="00280E6A" w:rsidRPr="00280E6A" w:rsidRDefault="00280E6A" w:rsidP="00280E6A">
      <w:pPr>
        <w:numPr>
          <w:ilvl w:val="1"/>
          <w:numId w:val="7"/>
        </w:numPr>
      </w:pPr>
      <w:r w:rsidRPr="00280E6A">
        <w:t xml:space="preserve">basic nursing care of the type given to bedfast or predominantly bedfast </w:t>
      </w:r>
      <w:proofErr w:type="gramStart"/>
      <w:r w:rsidRPr="00280E6A">
        <w:t>persons;</w:t>
      </w:r>
      <w:proofErr w:type="gramEnd"/>
    </w:p>
    <w:p w14:paraId="68A2CA8B" w14:textId="77777777" w:rsidR="00280E6A" w:rsidRPr="00280E6A" w:rsidRDefault="00280E6A" w:rsidP="00280E6A">
      <w:pPr>
        <w:numPr>
          <w:ilvl w:val="1"/>
          <w:numId w:val="7"/>
        </w:numPr>
      </w:pPr>
      <w:r w:rsidRPr="00280E6A">
        <w:t xml:space="preserve">intensive rehabilitation measures following surgery of a debilitating disease, which is likely to continue for more than a short </w:t>
      </w:r>
      <w:proofErr w:type="gramStart"/>
      <w:r w:rsidRPr="00280E6A">
        <w:t>period;</w:t>
      </w:r>
      <w:proofErr w:type="gramEnd"/>
    </w:p>
    <w:p w14:paraId="48412384" w14:textId="77777777" w:rsidR="00280E6A" w:rsidRPr="00280E6A" w:rsidRDefault="00280E6A" w:rsidP="00280E6A">
      <w:pPr>
        <w:numPr>
          <w:ilvl w:val="1"/>
          <w:numId w:val="7"/>
        </w:numPr>
      </w:pPr>
      <w:r w:rsidRPr="00280E6A">
        <w:t xml:space="preserve">management of complex prostheses or </w:t>
      </w:r>
      <w:proofErr w:type="gramStart"/>
      <w:r w:rsidRPr="00280E6A">
        <w:t>appliances;</w:t>
      </w:r>
      <w:proofErr w:type="gramEnd"/>
    </w:p>
    <w:p w14:paraId="05FC63CF" w14:textId="77777777" w:rsidR="00280E6A" w:rsidRPr="00280E6A" w:rsidRDefault="00280E6A" w:rsidP="00280E6A">
      <w:pPr>
        <w:numPr>
          <w:ilvl w:val="1"/>
          <w:numId w:val="7"/>
        </w:numPr>
      </w:pPr>
      <w:r w:rsidRPr="00280E6A">
        <w:t>management of complex psychological or aggressive states, which could not be met through HD requiring medical supervision.</w:t>
      </w:r>
    </w:p>
    <w:p w14:paraId="3E8DC268" w14:textId="77777777" w:rsidR="00280E6A" w:rsidRPr="00280E6A" w:rsidRDefault="00280E6A" w:rsidP="00280E6A">
      <w:pPr>
        <w:rPr>
          <w:b/>
          <w:bCs/>
        </w:rPr>
      </w:pPr>
      <w:r w:rsidRPr="00280E6A">
        <w:rPr>
          <w:b/>
          <w:bCs/>
        </w:rPr>
        <w:t>2. Temporary Residency (Short Term Care)</w:t>
      </w:r>
    </w:p>
    <w:p w14:paraId="5F67F130" w14:textId="77777777" w:rsidR="00280E6A" w:rsidRPr="00280E6A" w:rsidRDefault="00280E6A" w:rsidP="00280E6A">
      <w:r w:rsidRPr="00280E6A">
        <w:t>Temporary residency (short term care, or respite), is a time limited stay in a residential or nursing home. This is usually part of an agreed Care and Support Plan designed to help the person to remain in the community and where the situation of the person and their carer would deteriorate if the service was not provided.</w:t>
      </w:r>
    </w:p>
    <w:p w14:paraId="319C9D5F" w14:textId="77777777" w:rsidR="00280E6A" w:rsidRPr="00280E6A" w:rsidRDefault="00280E6A" w:rsidP="00280E6A">
      <w:r w:rsidRPr="00280E6A">
        <w:t>A temporary breakdown in support systems or the capacity to be able to self-care may also indicate needs for temporary residency. Whether residential or nursing care is the most appropriate will be indicated by the consideration of the person’s nursing and medical needs.</w:t>
      </w:r>
    </w:p>
    <w:p w14:paraId="604E24AB" w14:textId="77777777" w:rsidR="00280E6A" w:rsidRPr="00280E6A" w:rsidRDefault="00280E6A" w:rsidP="00280E6A">
      <w:r w:rsidRPr="00280E6A">
        <w:t>If temporary residency is required for the safety of the person whilst they are awaiting a package of care, practitioners will need to complete the </w:t>
      </w:r>
      <w:hyperlink r:id="rId41" w:tgtFrame="_blank" w:history="1">
        <w:r w:rsidRPr="00280E6A">
          <w:rPr>
            <w:rStyle w:val="Hyperlink"/>
          </w:rPr>
          <w:t>Interim Bed or HCS Request Form.</w:t>
        </w:r>
      </w:hyperlink>
    </w:p>
    <w:p w14:paraId="30E1A830" w14:textId="77777777" w:rsidR="00280E6A" w:rsidRPr="00280E6A" w:rsidRDefault="00280E6A" w:rsidP="00280E6A">
      <w:pPr>
        <w:rPr>
          <w:b/>
          <w:bCs/>
        </w:rPr>
      </w:pPr>
      <w:r w:rsidRPr="00280E6A">
        <w:rPr>
          <w:b/>
          <w:bCs/>
        </w:rPr>
        <w:t>2.1 Direct Payments – short term care</w:t>
      </w:r>
    </w:p>
    <w:p w14:paraId="5BFDFAC6" w14:textId="77777777" w:rsidR="00280E6A" w:rsidRPr="00280E6A" w:rsidRDefault="00280E6A" w:rsidP="00280E6A">
      <w:r w:rsidRPr="00280E6A">
        <w:t>In accordance with </w:t>
      </w:r>
      <w:hyperlink r:id="rId42" w:anchor="Chapter12" w:tgtFrame="_blank" w:history="1">
        <w:r w:rsidRPr="00280E6A">
          <w:rPr>
            <w:rStyle w:val="Hyperlink"/>
          </w:rPr>
          <w:t>Chapter 12 of the Care Act (2014) Statutory Guidance</w:t>
        </w:r>
      </w:hyperlink>
      <w:r w:rsidRPr="00280E6A">
        <w:t>, a person can use their </w:t>
      </w:r>
      <w:hyperlink r:id="rId43" w:history="1">
        <w:r w:rsidRPr="00280E6A">
          <w:rPr>
            <w:rStyle w:val="Hyperlink"/>
          </w:rPr>
          <w:t>Direct Payment</w:t>
        </w:r>
      </w:hyperlink>
      <w:r w:rsidRPr="00280E6A">
        <w:t> to purchase a short stay in residential care, provided the stay does not exceed a period of four consecutive weeks in any 12 month period. Where the interim period between two stays in residential care is less than four weeks, then the two stays should be added together to make a cumulative total, which should also not exceed four weeks if it is to be paid for with Direct Payments.</w:t>
      </w:r>
    </w:p>
    <w:p w14:paraId="398A66C1" w14:textId="77777777" w:rsidR="00280E6A" w:rsidRPr="00280E6A" w:rsidRDefault="00280E6A" w:rsidP="00280E6A">
      <w:r w:rsidRPr="00280E6A">
        <w:t>Please note: if two stays in residential care are more than four weeks apart then they are not added together and can both be purchased using the Direct Payment.</w:t>
      </w:r>
    </w:p>
    <w:p w14:paraId="0D94D860" w14:textId="77777777" w:rsidR="00280E6A" w:rsidRPr="00280E6A" w:rsidRDefault="00280E6A" w:rsidP="00280E6A">
      <w:pPr>
        <w:rPr>
          <w:b/>
          <w:bCs/>
        </w:rPr>
      </w:pPr>
      <w:r w:rsidRPr="00280E6A">
        <w:rPr>
          <w:b/>
          <w:bCs/>
        </w:rPr>
        <w:t>3. Permanent Residency (Long Term Care)</w:t>
      </w:r>
    </w:p>
    <w:p w14:paraId="223DA1AF" w14:textId="77777777" w:rsidR="00280E6A" w:rsidRPr="00280E6A" w:rsidRDefault="00280E6A" w:rsidP="00280E6A">
      <w:r w:rsidRPr="00280E6A">
        <w:t>It is the </w:t>
      </w:r>
      <w:hyperlink r:id="rId44" w:history="1">
        <w:r w:rsidRPr="00280E6A">
          <w:rPr>
            <w:rStyle w:val="Hyperlink"/>
          </w:rPr>
          <w:t>policy</w:t>
        </w:r>
      </w:hyperlink>
      <w:r w:rsidRPr="00280E6A">
        <w:t> of </w:t>
      </w:r>
      <w:hyperlink r:id="rId45" w:history="1">
        <w:r w:rsidRPr="00280E6A">
          <w:rPr>
            <w:rStyle w:val="Hyperlink"/>
          </w:rPr>
          <w:t>Adult Care</w:t>
        </w:r>
      </w:hyperlink>
      <w:r w:rsidRPr="00280E6A">
        <w:t xml:space="preserve"> that everyone should be supported to live in their own homes whenever possible. </w:t>
      </w:r>
      <w:proofErr w:type="gramStart"/>
      <w:r w:rsidRPr="00280E6A">
        <w:t>Hence</w:t>
      </w:r>
      <w:proofErr w:type="gramEnd"/>
      <w:r w:rsidRPr="00280E6A">
        <w:t xml:space="preserve"> we should only make permanent placements in care homes where we are satisfied that people’s support requirements and circumstances mean they can no longer live in a community setting.</w:t>
      </w:r>
    </w:p>
    <w:p w14:paraId="31708301" w14:textId="77777777" w:rsidR="00280E6A" w:rsidRPr="00280E6A" w:rsidRDefault="00280E6A" w:rsidP="00280E6A">
      <w:pPr>
        <w:rPr>
          <w:b/>
          <w:bCs/>
        </w:rPr>
      </w:pPr>
      <w:r w:rsidRPr="00280E6A">
        <w:rPr>
          <w:b/>
          <w:bCs/>
        </w:rPr>
        <w:t>3.1 Choice of accommodation</w:t>
      </w:r>
    </w:p>
    <w:p w14:paraId="445E7B54" w14:textId="77777777" w:rsidR="00280E6A" w:rsidRPr="00280E6A" w:rsidRDefault="00280E6A" w:rsidP="00280E6A">
      <w:r w:rsidRPr="00280E6A">
        <w:t>The guidance from </w:t>
      </w:r>
      <w:hyperlink r:id="rId46" w:anchor="AnnexA" w:tgtFrame="_blank" w:history="1">
        <w:r w:rsidRPr="00280E6A">
          <w:rPr>
            <w:rStyle w:val="Hyperlink"/>
          </w:rPr>
          <w:t>Annex A – Choice of accommodation and additional payments</w:t>
        </w:r>
      </w:hyperlink>
      <w:r w:rsidRPr="00280E6A">
        <w:t> of the Care and Support Statutory Guidance is that where the care planning process has determined that a person’s needs are best met in a care home, the local authority must provide for the person’s preferred choice of accommodation, subject to certain conditions. This also extends to shared lives, supported living and extra care housing settings. Determining the appropriate type of accommodation should be done with the adult as part of the Care and Support Planning process. The person’s preferred choice of accommodation only applies in the type of setting identified in the assessment. The local authority must ensure that the person has a choice and must ensure that at least one option is available and affordable within a person’s personal budget. However, a person must also be able to choose alternative options, including a more expensive setting, where a third party (or in certain circumstances the resident) is willing and able to pay the additional cost (top up).</w:t>
      </w:r>
    </w:p>
    <w:p w14:paraId="77AE27AB" w14:textId="77777777" w:rsidR="00280E6A" w:rsidRPr="00280E6A" w:rsidRDefault="00280E6A" w:rsidP="00280E6A">
      <w:r w:rsidRPr="00280E6A">
        <w:t xml:space="preserve">If the person expresses a preference for </w:t>
      </w:r>
      <w:proofErr w:type="gramStart"/>
      <w:r w:rsidRPr="00280E6A">
        <w:t>particular accommodation</w:t>
      </w:r>
      <w:proofErr w:type="gramEnd"/>
      <w:r w:rsidRPr="00280E6A">
        <w:t xml:space="preserve"> within the UK, the council must arrange for care in that home, provided that:</w:t>
      </w:r>
    </w:p>
    <w:p w14:paraId="6F34C95F" w14:textId="77777777" w:rsidR="00280E6A" w:rsidRPr="00280E6A" w:rsidRDefault="00280E6A" w:rsidP="00280E6A">
      <w:pPr>
        <w:numPr>
          <w:ilvl w:val="0"/>
          <w:numId w:val="8"/>
        </w:numPr>
      </w:pPr>
      <w:r w:rsidRPr="00280E6A">
        <w:t xml:space="preserve">the accommodation is suitable in relation to the person’s assessed </w:t>
      </w:r>
      <w:proofErr w:type="gramStart"/>
      <w:r w:rsidRPr="00280E6A">
        <w:t>needs;</w:t>
      </w:r>
      <w:proofErr w:type="gramEnd"/>
    </w:p>
    <w:p w14:paraId="571E4443" w14:textId="77777777" w:rsidR="00280E6A" w:rsidRPr="00280E6A" w:rsidRDefault="00280E6A" w:rsidP="00280E6A">
      <w:pPr>
        <w:numPr>
          <w:ilvl w:val="0"/>
          <w:numId w:val="8"/>
        </w:numPr>
      </w:pPr>
      <w:r w:rsidRPr="00280E6A">
        <w:t xml:space="preserve">to do so would not cost the local authority more than the amount specified in the person’s personal budget for accommodation of that </w:t>
      </w:r>
      <w:proofErr w:type="gramStart"/>
      <w:r w:rsidRPr="00280E6A">
        <w:t>type;</w:t>
      </w:r>
      <w:proofErr w:type="gramEnd"/>
    </w:p>
    <w:p w14:paraId="3F2D96D5" w14:textId="77777777" w:rsidR="00280E6A" w:rsidRPr="00280E6A" w:rsidRDefault="00280E6A" w:rsidP="00280E6A">
      <w:pPr>
        <w:numPr>
          <w:ilvl w:val="0"/>
          <w:numId w:val="8"/>
        </w:numPr>
      </w:pPr>
      <w:r w:rsidRPr="00280E6A">
        <w:t xml:space="preserve">the accommodation is </w:t>
      </w:r>
      <w:proofErr w:type="gramStart"/>
      <w:r w:rsidRPr="00280E6A">
        <w:t>available;</w:t>
      </w:r>
      <w:proofErr w:type="gramEnd"/>
    </w:p>
    <w:p w14:paraId="530030B6" w14:textId="77777777" w:rsidR="00280E6A" w:rsidRPr="00280E6A" w:rsidRDefault="00280E6A" w:rsidP="00280E6A">
      <w:pPr>
        <w:numPr>
          <w:ilvl w:val="0"/>
          <w:numId w:val="8"/>
        </w:numPr>
      </w:pPr>
      <w:r w:rsidRPr="00280E6A">
        <w:t xml:space="preserve">the provider of the accommodation is willing to </w:t>
      </w:r>
      <w:proofErr w:type="gramStart"/>
      <w:r w:rsidRPr="00280E6A">
        <w:t>enter into</w:t>
      </w:r>
      <w:proofErr w:type="gramEnd"/>
      <w:r w:rsidRPr="00280E6A">
        <w:t xml:space="preserve"> a contract with the local authority to provide care at the rate identified in the person’s personal budget and on the local authority’s terms and conditions.</w:t>
      </w:r>
    </w:p>
    <w:p w14:paraId="49598CF5" w14:textId="77777777" w:rsidR="00280E6A" w:rsidRPr="00280E6A" w:rsidRDefault="00280E6A" w:rsidP="00280E6A">
      <w:r w:rsidRPr="00280E6A">
        <w:t>A person can only exercise their rights if the preferred accommodation is available. If a person indicates a preference for a chosen home where there is not an available place, they cannot use their rights in that instance.</w:t>
      </w:r>
    </w:p>
    <w:p w14:paraId="0B8180DA" w14:textId="77777777" w:rsidR="00280E6A" w:rsidRPr="00280E6A" w:rsidRDefault="00280E6A" w:rsidP="00280E6A">
      <w:r w:rsidRPr="00280E6A">
        <w:t>If Lincolnshire County Council refuses to arrange a place in the preferred accommodation, there must be clear, justifiable reasons for doing so, and these reasons should be set it out in writing.</w:t>
      </w:r>
    </w:p>
    <w:p w14:paraId="0238E99D" w14:textId="77777777" w:rsidR="00280E6A" w:rsidRPr="00280E6A" w:rsidRDefault="00280E6A" w:rsidP="00280E6A">
      <w:pPr>
        <w:rPr>
          <w:b/>
          <w:bCs/>
        </w:rPr>
      </w:pPr>
      <w:r w:rsidRPr="00280E6A">
        <w:rPr>
          <w:b/>
          <w:bCs/>
        </w:rPr>
        <w:t>3.2 Direct Payments: permanent residency (long term care)</w:t>
      </w:r>
    </w:p>
    <w:p w14:paraId="5C66EB46" w14:textId="77777777" w:rsidR="00280E6A" w:rsidRPr="00280E6A" w:rsidRDefault="00280E6A" w:rsidP="00280E6A">
      <w:r w:rsidRPr="00280E6A">
        <w:t>Direct Payments cannot currently be used to secure permanent stays in a care home. However, the Government is reviewing the use of Direct Payments in care homes.</w:t>
      </w:r>
    </w:p>
    <w:p w14:paraId="735CC1F5" w14:textId="77777777" w:rsidR="00280E6A" w:rsidRPr="00280E6A" w:rsidRDefault="00280E6A" w:rsidP="00280E6A">
      <w:pPr>
        <w:rPr>
          <w:b/>
          <w:bCs/>
        </w:rPr>
      </w:pPr>
      <w:r w:rsidRPr="00280E6A">
        <w:rPr>
          <w:b/>
          <w:bCs/>
        </w:rPr>
        <w:t>4. Permanent Residency (Long Term Placement) Verification</w:t>
      </w:r>
    </w:p>
    <w:p w14:paraId="4889C991" w14:textId="77777777" w:rsidR="00280E6A" w:rsidRPr="00280E6A" w:rsidRDefault="00280E6A" w:rsidP="00280E6A">
      <w:r w:rsidRPr="00280E6A">
        <w:t>Permanent residency verification happens for two main purposes:</w:t>
      </w:r>
    </w:p>
    <w:p w14:paraId="6906995D" w14:textId="77777777" w:rsidR="00280E6A" w:rsidRPr="00280E6A" w:rsidRDefault="00280E6A" w:rsidP="00280E6A">
      <w:pPr>
        <w:numPr>
          <w:ilvl w:val="0"/>
          <w:numId w:val="9"/>
        </w:numPr>
      </w:pPr>
      <w:r w:rsidRPr="00280E6A">
        <w:t>to provide assurance that our assessment and practice is consistently robust in all cases where there is a possibility of permanent residency placement:</w:t>
      </w:r>
    </w:p>
    <w:p w14:paraId="3D366EE2" w14:textId="77777777" w:rsidR="00280E6A" w:rsidRPr="00280E6A" w:rsidRDefault="00280E6A" w:rsidP="00280E6A">
      <w:pPr>
        <w:numPr>
          <w:ilvl w:val="1"/>
          <w:numId w:val="9"/>
        </w:numPr>
      </w:pPr>
      <w:r w:rsidRPr="00280E6A">
        <w:t xml:space="preserve">assessments have been thorough and have fully involved the person and their representatives, all relevant disciplines and </w:t>
      </w:r>
      <w:proofErr w:type="gramStart"/>
      <w:r w:rsidRPr="00280E6A">
        <w:t>agencies;</w:t>
      </w:r>
      <w:proofErr w:type="gramEnd"/>
    </w:p>
    <w:p w14:paraId="6C48B5BB" w14:textId="77777777" w:rsidR="00280E6A" w:rsidRPr="00280E6A" w:rsidRDefault="00280E6A" w:rsidP="00280E6A">
      <w:pPr>
        <w:numPr>
          <w:ilvl w:val="1"/>
          <w:numId w:val="9"/>
        </w:numPr>
      </w:pPr>
      <w:r w:rsidRPr="00280E6A">
        <w:t xml:space="preserve">meaningful exploration of alternatives to permanent care can be </w:t>
      </w:r>
      <w:proofErr w:type="gramStart"/>
      <w:r w:rsidRPr="00280E6A">
        <w:t>evidenced;</w:t>
      </w:r>
      <w:proofErr w:type="gramEnd"/>
    </w:p>
    <w:p w14:paraId="3C70BAC6" w14:textId="77777777" w:rsidR="00280E6A" w:rsidRPr="00280E6A" w:rsidRDefault="00280E6A" w:rsidP="00280E6A">
      <w:pPr>
        <w:numPr>
          <w:ilvl w:val="1"/>
          <w:numId w:val="9"/>
        </w:numPr>
      </w:pPr>
      <w:r w:rsidRPr="00280E6A">
        <w:t xml:space="preserve">clear rationale exists for why the placement is </w:t>
      </w:r>
      <w:proofErr w:type="gramStart"/>
      <w:r w:rsidRPr="00280E6A">
        <w:t>required;</w:t>
      </w:r>
      <w:proofErr w:type="gramEnd"/>
    </w:p>
    <w:p w14:paraId="4BBA10E0" w14:textId="77777777" w:rsidR="00280E6A" w:rsidRPr="00280E6A" w:rsidRDefault="00280E6A" w:rsidP="00280E6A">
      <w:pPr>
        <w:numPr>
          <w:ilvl w:val="1"/>
          <w:numId w:val="9"/>
        </w:numPr>
      </w:pPr>
      <w:r w:rsidRPr="00280E6A">
        <w:t xml:space="preserve">the category of the proposed placement is appropriately reflected in the assessment and support </w:t>
      </w:r>
      <w:proofErr w:type="gramStart"/>
      <w:r w:rsidRPr="00280E6A">
        <w:t>plan;</w:t>
      </w:r>
      <w:proofErr w:type="gramEnd"/>
    </w:p>
    <w:p w14:paraId="3C263E23" w14:textId="77777777" w:rsidR="00280E6A" w:rsidRPr="00280E6A" w:rsidRDefault="00280E6A" w:rsidP="00280E6A">
      <w:pPr>
        <w:numPr>
          <w:ilvl w:val="0"/>
          <w:numId w:val="9"/>
        </w:numPr>
      </w:pPr>
      <w:r w:rsidRPr="00280E6A">
        <w:t>to provide assurance that the required work has been undertaken to determine the nature and the extent of the council’s financial responsibility in relation to the placement:</w:t>
      </w:r>
    </w:p>
    <w:p w14:paraId="222A999C" w14:textId="77777777" w:rsidR="00280E6A" w:rsidRPr="00280E6A" w:rsidRDefault="00280E6A" w:rsidP="00280E6A">
      <w:pPr>
        <w:numPr>
          <w:ilvl w:val="1"/>
          <w:numId w:val="9"/>
        </w:numPr>
      </w:pPr>
      <w:r w:rsidRPr="00280E6A">
        <w:t xml:space="preserve">eligibility for funding from all funding streams has been fully </w:t>
      </w:r>
      <w:proofErr w:type="gramStart"/>
      <w:r w:rsidRPr="00280E6A">
        <w:t>determined;</w:t>
      </w:r>
      <w:proofErr w:type="gramEnd"/>
    </w:p>
    <w:p w14:paraId="5753C7CB" w14:textId="77777777" w:rsidR="00280E6A" w:rsidRPr="00280E6A" w:rsidRDefault="00280E6A" w:rsidP="00280E6A">
      <w:pPr>
        <w:numPr>
          <w:ilvl w:val="1"/>
          <w:numId w:val="9"/>
        </w:numPr>
      </w:pPr>
      <w:r w:rsidRPr="00280E6A">
        <w:t xml:space="preserve">the person’s financial circumstances have been assessed and are known at the point the placement is </w:t>
      </w:r>
      <w:proofErr w:type="gramStart"/>
      <w:r w:rsidRPr="00280E6A">
        <w:t>made;</w:t>
      </w:r>
      <w:proofErr w:type="gramEnd"/>
    </w:p>
    <w:p w14:paraId="44249395" w14:textId="77777777" w:rsidR="00280E6A" w:rsidRPr="00280E6A" w:rsidRDefault="00280E6A" w:rsidP="00280E6A">
      <w:pPr>
        <w:numPr>
          <w:ilvl w:val="1"/>
          <w:numId w:val="9"/>
        </w:numPr>
      </w:pPr>
      <w:r w:rsidRPr="00280E6A">
        <w:t>the proposed placement is at the appropriate cost and the contractual arrangements are in place with the home.</w:t>
      </w:r>
    </w:p>
    <w:p w14:paraId="4A3E96FE" w14:textId="77777777" w:rsidR="00280E6A" w:rsidRPr="00280E6A" w:rsidRDefault="00280E6A" w:rsidP="00280E6A">
      <w:r w:rsidRPr="00280E6A">
        <w:t>The process assumes the above is integral to our practice, and work undertaken to provide this assurance is routinely evidenced in case recording. The purpose of the Permanent Residency Request is to summarise and bring together the key elements of case work relevant to the request and provide reassurance that a funded placement is the correct course of action. Permanent residency placement requests should not be made unless the assessor and their Lead Practitioner are satisfied this work has been done and can be evidenced.</w:t>
      </w:r>
    </w:p>
    <w:p w14:paraId="5E335C46" w14:textId="77777777" w:rsidR="00280E6A" w:rsidRPr="00280E6A" w:rsidRDefault="00280E6A" w:rsidP="00280E6A">
      <w:r w:rsidRPr="00280E6A">
        <w:t>The </w:t>
      </w:r>
      <w:hyperlink r:id="rId47" w:tgtFrame="_blank" w:history="1">
        <w:r w:rsidRPr="00280E6A">
          <w:rPr>
            <w:rStyle w:val="Hyperlink"/>
          </w:rPr>
          <w:t>Permanent Residency Request Form in Mosaic</w:t>
        </w:r>
      </w:hyperlink>
      <w:r w:rsidRPr="00280E6A">
        <w:t> has been designed to enable the relevant information to be clearly presented. The form is not intended to duplicate assessments, plans or case notes. Practitioners should use their judgement about the depth of detail required to provide the necessary assurance to the Area Manager. If it is not relevant to the permanent residency placement, do not include it.</w:t>
      </w:r>
    </w:p>
    <w:p w14:paraId="7367C6A3" w14:textId="77777777" w:rsidR="00280E6A" w:rsidRPr="00280E6A" w:rsidRDefault="00280E6A" w:rsidP="00280E6A">
      <w:r w:rsidRPr="00280E6A">
        <w:rPr>
          <w:b/>
          <w:bCs/>
        </w:rPr>
        <w:t>Reasons why the person needs a permanent placement </w:t>
      </w:r>
      <w:r w:rsidRPr="00280E6A">
        <w:t>– Provide a concise summary of the person’s current circumstances and why their needs can no longer be met in their own home or in a community setting. Include a summary of the relevant diagnosis, conditions or impairments.</w:t>
      </w:r>
    </w:p>
    <w:p w14:paraId="6F3C59EB" w14:textId="77777777" w:rsidR="00280E6A" w:rsidRPr="00280E6A" w:rsidRDefault="00280E6A" w:rsidP="00280E6A">
      <w:r w:rsidRPr="00280E6A">
        <w:rPr>
          <w:b/>
          <w:bCs/>
        </w:rPr>
        <w:t>Options considered and tried to meet support needs at home</w:t>
      </w:r>
      <w:r w:rsidRPr="00280E6A">
        <w:t xml:space="preserve"> – Placements should only be authorised where the Area Manager is satisfied that opportunities to provide alternative interventions and use additional </w:t>
      </w:r>
      <w:proofErr w:type="gramStart"/>
      <w:r w:rsidRPr="00280E6A">
        <w:t>community based</w:t>
      </w:r>
      <w:proofErr w:type="gramEnd"/>
      <w:r w:rsidRPr="00280E6A">
        <w:t xml:space="preserve"> services have been meaningfully considered. It should be clearly stated where it has not been possible to try alternatives.</w:t>
      </w:r>
    </w:p>
    <w:p w14:paraId="79526C34" w14:textId="77777777" w:rsidR="00280E6A" w:rsidRPr="00280E6A" w:rsidRDefault="00280E6A" w:rsidP="00280E6A">
      <w:r w:rsidRPr="00280E6A">
        <w:rPr>
          <w:b/>
          <w:bCs/>
        </w:rPr>
        <w:t>Identified significant risks</w:t>
      </w:r>
      <w:r w:rsidRPr="00280E6A">
        <w:t> – This section does not need to include every element of need or risk for the person. It is most important that the risks and needs that cannot be met in the community are highlighted here, e.g. risk of falls due to attempting to use the toilet during the night. The prompts within the Mosaic form serve as a guide for practitioners.</w:t>
      </w:r>
    </w:p>
    <w:p w14:paraId="6A0DED04" w14:textId="77777777" w:rsidR="00280E6A" w:rsidRPr="00280E6A" w:rsidRDefault="00280E6A" w:rsidP="00280E6A">
      <w:r w:rsidRPr="00280E6A">
        <w:rPr>
          <w:b/>
          <w:bCs/>
        </w:rPr>
        <w:t>Chronology of relevant significant events</w:t>
      </w:r>
      <w:r w:rsidRPr="00280E6A">
        <w:t> – This section is to highlight the events that are significant to the breakdown of support in the community or an acute incident. The chronology should also provide assurance that opportunities have been taken along the way to maximise the chances of remaining at home. Reasons for any episodes of inactivity should be given.</w:t>
      </w:r>
    </w:p>
    <w:p w14:paraId="334AA279" w14:textId="77777777" w:rsidR="00280E6A" w:rsidRPr="00280E6A" w:rsidRDefault="00280E6A" w:rsidP="00280E6A">
      <w:r w:rsidRPr="00280E6A">
        <w:rPr>
          <w:b/>
          <w:bCs/>
        </w:rPr>
        <w:t>Financial considerations</w:t>
      </w:r>
      <w:r w:rsidRPr="00280E6A">
        <w:t> – This section should include any relevant information in relation to the person’s financial circumstances, ownership of property, previous ownership of property, shared ownerships etc., which may impact on whether the council should be financially liable for funding the placement. Where there are ongoing complex financial issues, these should be advised in this section. Details of the proposed placement, level, prices and contracting details should also be included.</w:t>
      </w:r>
    </w:p>
    <w:p w14:paraId="5147C4A3" w14:textId="77777777" w:rsidR="00280E6A" w:rsidRPr="00280E6A" w:rsidRDefault="00280E6A" w:rsidP="00280E6A">
      <w:r w:rsidRPr="00280E6A">
        <w:rPr>
          <w:b/>
          <w:bCs/>
        </w:rPr>
        <w:t>Outcome</w:t>
      </w:r>
      <w:r w:rsidRPr="00280E6A">
        <w:t xml:space="preserve"> – This part of the Mosaic form should be completed by the Area Manager or Locality </w:t>
      </w:r>
      <w:proofErr w:type="gramStart"/>
      <w:r w:rsidRPr="00280E6A">
        <w:t>Lead, and</w:t>
      </w:r>
      <w:proofErr w:type="gramEnd"/>
      <w:r w:rsidRPr="00280E6A">
        <w:t xml:space="preserve"> should record their decision and any notes of rationale for the decision or actions required.</w:t>
      </w:r>
    </w:p>
    <w:p w14:paraId="494F8266" w14:textId="77777777" w:rsidR="00280E6A" w:rsidRPr="00280E6A" w:rsidRDefault="00280E6A" w:rsidP="00280E6A">
      <w:pPr>
        <w:rPr>
          <w:b/>
          <w:bCs/>
        </w:rPr>
      </w:pPr>
      <w:r w:rsidRPr="00280E6A">
        <w:rPr>
          <w:b/>
          <w:bCs/>
        </w:rPr>
        <w:t>5. Contributing to residential care</w:t>
      </w:r>
    </w:p>
    <w:p w14:paraId="0A4A4D16" w14:textId="77777777" w:rsidR="00280E6A" w:rsidRPr="00280E6A" w:rsidRDefault="00280E6A" w:rsidP="00280E6A">
      <w:r w:rsidRPr="00280E6A">
        <w:t>People entering residential care who are eligible for financial assistance from Adult Care will make contributions towards the cost of care in accordance with the Care Act 2014 and its associated guidance.</w:t>
      </w:r>
    </w:p>
    <w:p w14:paraId="5F7C0A26" w14:textId="77777777" w:rsidR="00280E6A" w:rsidRPr="00280E6A" w:rsidRDefault="00280E6A" w:rsidP="00280E6A">
      <w:pPr>
        <w:rPr>
          <w:b/>
          <w:bCs/>
        </w:rPr>
      </w:pPr>
      <w:r w:rsidRPr="00280E6A">
        <w:rPr>
          <w:b/>
          <w:bCs/>
        </w:rPr>
        <w:t>5.1 Third party top ups</w:t>
      </w:r>
    </w:p>
    <w:p w14:paraId="349E46BF" w14:textId="77777777" w:rsidR="00280E6A" w:rsidRPr="00280E6A" w:rsidRDefault="00280E6A" w:rsidP="00280E6A">
      <w:r w:rsidRPr="00280E6A">
        <w:t>Care home providers who contract with Lincolnshire County Council are required to submit a schedule of their charges for each of their rooms. Where their charge exceeds Adult Care’s expected cost, a top up, paid by a third party, should be put in place with a formal agreement.</w:t>
      </w:r>
    </w:p>
    <w:p w14:paraId="370CD94A" w14:textId="77777777" w:rsidR="00280E6A" w:rsidRPr="00280E6A" w:rsidRDefault="00280E6A" w:rsidP="00280E6A">
      <w:r w:rsidRPr="00280E6A">
        <w:t>Details of financial assessment processes, guidance and forms can be found in the </w:t>
      </w:r>
      <w:hyperlink r:id="rId48" w:history="1">
        <w:r w:rsidRPr="00280E6A">
          <w:rPr>
            <w:rStyle w:val="Hyperlink"/>
          </w:rPr>
          <w:t>Customer Finances section</w:t>
        </w:r>
      </w:hyperlink>
      <w:r w:rsidRPr="00280E6A">
        <w:t>.</w:t>
      </w:r>
    </w:p>
    <w:p w14:paraId="02F8C5CD" w14:textId="77777777" w:rsidR="00280E6A" w:rsidRPr="00280E6A" w:rsidRDefault="00280E6A" w:rsidP="00280E6A">
      <w:pPr>
        <w:rPr>
          <w:b/>
          <w:bCs/>
        </w:rPr>
      </w:pPr>
      <w:r w:rsidRPr="00280E6A">
        <w:rPr>
          <w:b/>
          <w:bCs/>
        </w:rPr>
        <w:t>6. Out of County Placements</w:t>
      </w:r>
    </w:p>
    <w:p w14:paraId="1CC8FBC1" w14:textId="77777777" w:rsidR="00280E6A" w:rsidRPr="00280E6A" w:rsidRDefault="00280E6A" w:rsidP="00280E6A">
      <w:r w:rsidRPr="00280E6A">
        <w:t>If a person chooses to be placed in a setting that is outside the local authority area, the local authority must still arrange for their preferred care. In doing so, the local authority should have regard to the cost of care in that area when setting a person’s personal budget. The following must also be considered:</w:t>
      </w:r>
    </w:p>
    <w:p w14:paraId="656ECA05" w14:textId="77777777" w:rsidR="00280E6A" w:rsidRPr="00280E6A" w:rsidRDefault="00280E6A" w:rsidP="00280E6A">
      <w:pPr>
        <w:numPr>
          <w:ilvl w:val="0"/>
          <w:numId w:val="10"/>
        </w:numPr>
      </w:pPr>
      <w:r w:rsidRPr="00280E6A">
        <w:t xml:space="preserve">there may still need to be a third party top </w:t>
      </w:r>
      <w:proofErr w:type="gramStart"/>
      <w:r w:rsidRPr="00280E6A">
        <w:t>up;</w:t>
      </w:r>
      <w:proofErr w:type="gramEnd"/>
    </w:p>
    <w:p w14:paraId="6649076B" w14:textId="77777777" w:rsidR="00280E6A" w:rsidRPr="00280E6A" w:rsidRDefault="00280E6A" w:rsidP="00280E6A">
      <w:pPr>
        <w:numPr>
          <w:ilvl w:val="0"/>
          <w:numId w:val="10"/>
        </w:numPr>
      </w:pPr>
      <w:r w:rsidRPr="00280E6A">
        <w:t>check with the Commercial Team to ensure there are no </w:t>
      </w:r>
      <w:hyperlink r:id="rId49" w:history="1">
        <w:r w:rsidRPr="00280E6A">
          <w:rPr>
            <w:rStyle w:val="Hyperlink"/>
          </w:rPr>
          <w:t>safeguarding</w:t>
        </w:r>
      </w:hyperlink>
      <w:r w:rsidRPr="00280E6A">
        <w:t xml:space="preserve"> concerns with the care </w:t>
      </w:r>
      <w:proofErr w:type="gramStart"/>
      <w:r w:rsidRPr="00280E6A">
        <w:t>home;</w:t>
      </w:r>
      <w:proofErr w:type="gramEnd"/>
    </w:p>
    <w:p w14:paraId="1AAE7967" w14:textId="77777777" w:rsidR="00280E6A" w:rsidRPr="00280E6A" w:rsidRDefault="00280E6A" w:rsidP="00280E6A">
      <w:pPr>
        <w:numPr>
          <w:ilvl w:val="0"/>
          <w:numId w:val="10"/>
        </w:numPr>
      </w:pPr>
      <w:r w:rsidRPr="00280E6A">
        <w:t xml:space="preserve">LCC will need to obtain a contract with the home to enable a placement to be made, even if there is already an LCC funded placement in the </w:t>
      </w:r>
      <w:proofErr w:type="gramStart"/>
      <w:r w:rsidRPr="00280E6A">
        <w:t>home;</w:t>
      </w:r>
      <w:proofErr w:type="gramEnd"/>
    </w:p>
    <w:p w14:paraId="32741C9E" w14:textId="77777777" w:rsidR="00280E6A" w:rsidRPr="00280E6A" w:rsidRDefault="00280E6A" w:rsidP="00280E6A">
      <w:pPr>
        <w:numPr>
          <w:ilvl w:val="0"/>
          <w:numId w:val="10"/>
        </w:numPr>
      </w:pPr>
      <w:r w:rsidRPr="00280E6A">
        <w:t xml:space="preserve">once the room price and top up have been agreed, the Commercial Team will need to be contacted so they can set up the </w:t>
      </w:r>
      <w:proofErr w:type="gramStart"/>
      <w:r w:rsidRPr="00280E6A">
        <w:t>contract;</w:t>
      </w:r>
      <w:proofErr w:type="gramEnd"/>
    </w:p>
    <w:p w14:paraId="2B7A95B8" w14:textId="77777777" w:rsidR="00280E6A" w:rsidRPr="00280E6A" w:rsidRDefault="00280E6A" w:rsidP="00280E6A">
      <w:pPr>
        <w:numPr>
          <w:ilvl w:val="0"/>
          <w:numId w:val="10"/>
        </w:numPr>
      </w:pPr>
      <w:r w:rsidRPr="00280E6A">
        <w:t xml:space="preserve">no placement should commence without appropriate </w:t>
      </w:r>
      <w:proofErr w:type="gramStart"/>
      <w:r w:rsidRPr="00280E6A">
        <w:t>authorisation;</w:t>
      </w:r>
      <w:proofErr w:type="gramEnd"/>
    </w:p>
    <w:p w14:paraId="18CE6FCA" w14:textId="77777777" w:rsidR="00280E6A" w:rsidRPr="00280E6A" w:rsidRDefault="00280E6A" w:rsidP="00280E6A">
      <w:pPr>
        <w:numPr>
          <w:ilvl w:val="0"/>
          <w:numId w:val="10"/>
        </w:numPr>
      </w:pPr>
      <w:r w:rsidRPr="00280E6A">
        <w:t>until the Framework Contract is signed and returned you will be unable to complete the Purchase Service Request as the care home will not be authorised for use.</w:t>
      </w:r>
    </w:p>
    <w:p w14:paraId="42A357D9" w14:textId="77777777" w:rsidR="00280E6A" w:rsidRPr="00280E6A" w:rsidRDefault="00280E6A" w:rsidP="00280E6A">
      <w:r w:rsidRPr="00280E6A">
        <w:t>Care and Support Statutory Guidance relevant to making out of county placements can be found in:</w:t>
      </w:r>
    </w:p>
    <w:p w14:paraId="0F6DF3E8" w14:textId="77777777" w:rsidR="00280E6A" w:rsidRPr="00280E6A" w:rsidRDefault="00280E6A" w:rsidP="00280E6A">
      <w:pPr>
        <w:numPr>
          <w:ilvl w:val="0"/>
          <w:numId w:val="11"/>
        </w:numPr>
      </w:pPr>
      <w:hyperlink r:id="rId50" w:anchor="Chapter19" w:tgtFrame="_blank" w:history="1">
        <w:r w:rsidRPr="00280E6A">
          <w:rPr>
            <w:rStyle w:val="Hyperlink"/>
          </w:rPr>
          <w:t>Chapter 19. Ordinary Residence</w:t>
        </w:r>
      </w:hyperlink>
      <w:r w:rsidRPr="00280E6A">
        <w:t>;</w:t>
      </w:r>
    </w:p>
    <w:p w14:paraId="0832B71E" w14:textId="77777777" w:rsidR="00280E6A" w:rsidRPr="00280E6A" w:rsidRDefault="00280E6A" w:rsidP="00280E6A">
      <w:pPr>
        <w:numPr>
          <w:ilvl w:val="0"/>
          <w:numId w:val="11"/>
        </w:numPr>
      </w:pPr>
      <w:hyperlink r:id="rId51" w:anchor="Chapter20" w:tgtFrame="_blank" w:history="1">
        <w:r w:rsidRPr="00280E6A">
          <w:rPr>
            <w:rStyle w:val="Hyperlink"/>
          </w:rPr>
          <w:t>Chapter 20. Continuity of Care</w:t>
        </w:r>
      </w:hyperlink>
      <w:r w:rsidRPr="00280E6A">
        <w:t>;</w:t>
      </w:r>
    </w:p>
    <w:p w14:paraId="1CA7B758" w14:textId="77777777" w:rsidR="00280E6A" w:rsidRPr="00280E6A" w:rsidRDefault="00280E6A" w:rsidP="00280E6A">
      <w:pPr>
        <w:numPr>
          <w:ilvl w:val="0"/>
          <w:numId w:val="11"/>
        </w:numPr>
      </w:pPr>
      <w:hyperlink r:id="rId52" w:anchor="Chapter21" w:tgtFrame="_blank" w:history="1">
        <w:r w:rsidRPr="00280E6A">
          <w:rPr>
            <w:rStyle w:val="Hyperlink"/>
          </w:rPr>
          <w:t>Chapter 21. Cross-border Placements</w:t>
        </w:r>
      </w:hyperlink>
      <w:r w:rsidRPr="00280E6A">
        <w:t>.</w:t>
      </w:r>
    </w:p>
    <w:p w14:paraId="69315C58" w14:textId="77777777" w:rsidR="00280E6A" w:rsidRPr="00280E6A" w:rsidRDefault="00280E6A" w:rsidP="00280E6A">
      <w:pPr>
        <w:rPr>
          <w:b/>
          <w:bCs/>
        </w:rPr>
      </w:pPr>
      <w:r w:rsidRPr="00280E6A">
        <w:rPr>
          <w:b/>
          <w:bCs/>
        </w:rPr>
        <w:t>6.1 Placements in Scotland</w:t>
      </w:r>
    </w:p>
    <w:p w14:paraId="25B090B5" w14:textId="77777777" w:rsidR="00280E6A" w:rsidRPr="00280E6A" w:rsidRDefault="00280E6A" w:rsidP="00280E6A">
      <w:r w:rsidRPr="00280E6A">
        <w:t xml:space="preserve">Please note that it is not possible for English authorities to place directly into a private care home in Scotland. This </w:t>
      </w:r>
      <w:proofErr w:type="gramStart"/>
      <w:r w:rsidRPr="00280E6A">
        <w:t>has to</w:t>
      </w:r>
      <w:proofErr w:type="gramEnd"/>
      <w:r w:rsidRPr="00280E6A">
        <w:t xml:space="preserve"> be arranged through the relevant Scottish authority. If you need to arrange such a placement, contact the </w:t>
      </w:r>
      <w:hyperlink r:id="rId53" w:history="1">
        <w:r w:rsidRPr="00280E6A">
          <w:rPr>
            <w:rStyle w:val="Hyperlink"/>
          </w:rPr>
          <w:t>Commercial Team</w:t>
        </w:r>
      </w:hyperlink>
      <w:r w:rsidRPr="00280E6A">
        <w:t> for further guidance.</w:t>
      </w:r>
    </w:p>
    <w:p w14:paraId="01AC4972" w14:textId="77777777" w:rsidR="00280E6A" w:rsidRPr="00280E6A" w:rsidRDefault="00280E6A" w:rsidP="00280E6A">
      <w:pPr>
        <w:rPr>
          <w:b/>
          <w:bCs/>
        </w:rPr>
      </w:pPr>
      <w:r w:rsidRPr="00280E6A">
        <w:rPr>
          <w:b/>
          <w:bCs/>
        </w:rPr>
        <w:t>6.2 Planning and lead times</w:t>
      </w:r>
    </w:p>
    <w:p w14:paraId="498A5E26" w14:textId="77777777" w:rsidR="00280E6A" w:rsidRPr="00280E6A" w:rsidRDefault="00280E6A" w:rsidP="00280E6A">
      <w:r w:rsidRPr="00280E6A">
        <w:t>If the placement you wish to make is an emergency or subject to acute hospital delayed discharge, please let the Business Support Team know as soon as possible and, with the co-operation of the provider, they will try to complete the process as quickly as possible.</w:t>
      </w:r>
    </w:p>
    <w:p w14:paraId="5C4AB970" w14:textId="77777777" w:rsidR="00280E6A" w:rsidRPr="00280E6A" w:rsidRDefault="00280E6A" w:rsidP="00280E6A">
      <w:r w:rsidRPr="00280E6A">
        <w:t xml:space="preserve">Please </w:t>
      </w:r>
      <w:proofErr w:type="gramStart"/>
      <w:r w:rsidRPr="00280E6A">
        <w:t>note:</w:t>
      </w:r>
      <w:proofErr w:type="gramEnd"/>
      <w:r w:rsidRPr="00280E6A">
        <w:t xml:space="preserve"> unless you have received confirmation from the Business Support Team that the placement can go ahead, no person should enter a home without a Framework Agreement being in place; this puts the person and the council at risk and means that no payment will be generated.</w:t>
      </w:r>
    </w:p>
    <w:p w14:paraId="39B8E22B" w14:textId="77777777" w:rsidR="00280E6A" w:rsidRPr="00280E6A" w:rsidRDefault="00280E6A" w:rsidP="00280E6A">
      <w:pPr>
        <w:rPr>
          <w:b/>
          <w:bCs/>
        </w:rPr>
      </w:pPr>
      <w:r w:rsidRPr="00280E6A">
        <w:rPr>
          <w:b/>
          <w:bCs/>
        </w:rPr>
        <w:t>6.3 Room availability and home registration</w:t>
      </w:r>
    </w:p>
    <w:p w14:paraId="04C9555B" w14:textId="77777777" w:rsidR="00280E6A" w:rsidRPr="00280E6A" w:rsidRDefault="00280E6A" w:rsidP="00280E6A">
      <w:r w:rsidRPr="00280E6A">
        <w:t>As the placing </w:t>
      </w:r>
      <w:hyperlink r:id="rId54" w:history="1">
        <w:r w:rsidRPr="00280E6A">
          <w:rPr>
            <w:rStyle w:val="Hyperlink"/>
          </w:rPr>
          <w:t>officer</w:t>
        </w:r>
      </w:hyperlink>
      <w:r w:rsidRPr="00280E6A">
        <w:t>, you will need to contact the home of choice to find out whether there is a room available, the bed price, and that the home is registered to meet the person’s needs. Please check the host local authority’s expected cost for the home and that the home is registered with the Care Quality Commission (CQC).</w:t>
      </w:r>
    </w:p>
    <w:p w14:paraId="3ADC2D58" w14:textId="77777777" w:rsidR="00280E6A" w:rsidRPr="00280E6A" w:rsidRDefault="00280E6A" w:rsidP="00280E6A">
      <w:r w:rsidRPr="00280E6A">
        <w:t>When obtaining a price for a care home with nursing, please remember that any agreed fee must be excluding any NHS Funded Nursing Care determination and that the relevant NHS authority (within the area you are placing in) is responsible for payment of that determination.</w:t>
      </w:r>
    </w:p>
    <w:p w14:paraId="2BC46608" w14:textId="77777777" w:rsidR="00280E6A" w:rsidRPr="00280E6A" w:rsidRDefault="00280E6A" w:rsidP="00280E6A">
      <w:pPr>
        <w:rPr>
          <w:b/>
          <w:bCs/>
        </w:rPr>
      </w:pPr>
      <w:r w:rsidRPr="00280E6A">
        <w:rPr>
          <w:b/>
          <w:bCs/>
        </w:rPr>
        <w:t>6.4 Determine price of bed</w:t>
      </w:r>
    </w:p>
    <w:p w14:paraId="288B0B50" w14:textId="77777777" w:rsidR="00280E6A" w:rsidRPr="00280E6A" w:rsidRDefault="00280E6A" w:rsidP="00280E6A">
      <w:pPr>
        <w:numPr>
          <w:ilvl w:val="0"/>
          <w:numId w:val="12"/>
        </w:numPr>
      </w:pPr>
      <w:r w:rsidRPr="00280E6A">
        <w:t xml:space="preserve">If it is the person’s choice to move to more expensive accommodation and the price quoted is above Lincolnshire’s expected cost but within the host authority’s expected cost, a </w:t>
      </w:r>
      <w:proofErr w:type="gramStart"/>
      <w:r w:rsidRPr="00280E6A">
        <w:t>Third Party</w:t>
      </w:r>
      <w:proofErr w:type="gramEnd"/>
      <w:r w:rsidRPr="00280E6A">
        <w:t xml:space="preserve"> Agreement to fund the difference will be needed. If there is no Third Party available and there are specific service needs or circumstances that require a specific placement, then written approval for Lincolnshire County Council to fund the difference is required from your Head of Service.</w:t>
      </w:r>
    </w:p>
    <w:p w14:paraId="793DBDB2" w14:textId="77777777" w:rsidR="00280E6A" w:rsidRPr="00280E6A" w:rsidRDefault="00280E6A" w:rsidP="00280E6A">
      <w:pPr>
        <w:numPr>
          <w:ilvl w:val="0"/>
          <w:numId w:val="12"/>
        </w:numPr>
      </w:pPr>
      <w:r w:rsidRPr="00280E6A">
        <w:t>If it has been specifically identified that there is an assessed need to place out of county and not just a person’s personal wish, then we must pay at the host authority’s expected cost.</w:t>
      </w:r>
    </w:p>
    <w:p w14:paraId="50A35A5D" w14:textId="77777777" w:rsidR="00280E6A" w:rsidRPr="00280E6A" w:rsidRDefault="00280E6A" w:rsidP="00280E6A">
      <w:pPr>
        <w:numPr>
          <w:ilvl w:val="0"/>
          <w:numId w:val="12"/>
        </w:numPr>
      </w:pPr>
      <w:r w:rsidRPr="00280E6A">
        <w:t>A person who is in receipt of a 12 week Property Disregard or who has agreed to enter into a </w:t>
      </w:r>
      <w:hyperlink r:id="rId55" w:history="1">
        <w:r w:rsidRPr="00280E6A">
          <w:rPr>
            <w:rStyle w:val="Hyperlink"/>
          </w:rPr>
          <w:t>Deferred Payments</w:t>
        </w:r>
      </w:hyperlink>
      <w:r w:rsidRPr="00280E6A">
        <w:t> Agreement can act as their own Third Party and their Third Party payment (known as First Party) is added to the debt.</w:t>
      </w:r>
    </w:p>
    <w:p w14:paraId="25CE6FA3" w14:textId="77777777" w:rsidR="00280E6A" w:rsidRPr="00280E6A" w:rsidRDefault="00280E6A" w:rsidP="00280E6A">
      <w:pPr>
        <w:numPr>
          <w:ilvl w:val="0"/>
          <w:numId w:val="12"/>
        </w:numPr>
      </w:pPr>
      <w:r w:rsidRPr="00280E6A">
        <w:t xml:space="preserve">The </w:t>
      </w:r>
      <w:proofErr w:type="gramStart"/>
      <w:r w:rsidRPr="00280E6A">
        <w:t>Third Party</w:t>
      </w:r>
      <w:proofErr w:type="gramEnd"/>
      <w:r w:rsidRPr="00280E6A">
        <w:t xml:space="preserve"> Agreement must be completed and signed by all parties before the placement can go ahead. A copy of this must be sent to Commercial Team upon completion.</w:t>
      </w:r>
    </w:p>
    <w:p w14:paraId="7B9D8F7C" w14:textId="77777777" w:rsidR="00280E6A" w:rsidRPr="00280E6A" w:rsidRDefault="00280E6A" w:rsidP="00280E6A">
      <w:pPr>
        <w:numPr>
          <w:ilvl w:val="0"/>
          <w:numId w:val="12"/>
        </w:numPr>
      </w:pPr>
      <w:r w:rsidRPr="00280E6A">
        <w:t>The cost of learning disability placements will be determined by use of the National Care Funding Calculator and must be agreed with the provider before the placement can go ahead.</w:t>
      </w:r>
    </w:p>
    <w:p w14:paraId="66968EFE" w14:textId="77777777" w:rsidR="00280E6A" w:rsidRPr="00280E6A" w:rsidRDefault="00280E6A" w:rsidP="00280E6A">
      <w:pPr>
        <w:rPr>
          <w:b/>
          <w:bCs/>
        </w:rPr>
      </w:pPr>
      <w:r w:rsidRPr="00280E6A">
        <w:rPr>
          <w:b/>
          <w:bCs/>
        </w:rPr>
        <w:t>6.5 Issue contract documentation and complete Pro Forma part 1</w:t>
      </w:r>
    </w:p>
    <w:p w14:paraId="38F8855C" w14:textId="77777777" w:rsidR="00280E6A" w:rsidRPr="00280E6A" w:rsidRDefault="00280E6A" w:rsidP="00280E6A">
      <w:r w:rsidRPr="00280E6A">
        <w:t>Once everything is confirmed, you should have enough information to complete Part 1 of the </w:t>
      </w:r>
      <w:hyperlink r:id="rId56" w:tgtFrame="_blank" w:history="1">
        <w:r w:rsidRPr="00280E6A">
          <w:rPr>
            <w:rStyle w:val="Hyperlink"/>
          </w:rPr>
          <w:t>Pro Forma</w:t>
        </w:r>
      </w:hyperlink>
      <w:r w:rsidRPr="00280E6A">
        <w:t> for the placement of persons out of the county, which will give the Business Support Team all the information necessary to issue contract documentation to the provider. Once completed, the Pro Forma should be emailed to the </w:t>
      </w:r>
      <w:hyperlink r:id="rId57" w:history="1">
        <w:r w:rsidRPr="00280E6A">
          <w:rPr>
            <w:rStyle w:val="Hyperlink"/>
          </w:rPr>
          <w:t>Commercial Team</w:t>
        </w:r>
      </w:hyperlink>
      <w:r w:rsidRPr="00280E6A">
        <w:t> so that contract preparation checks can begin. A summary of the steps taken can be found in the </w:t>
      </w:r>
      <w:hyperlink r:id="rId58" w:tgtFrame="_blank" w:history="1">
        <w:r w:rsidRPr="00280E6A">
          <w:rPr>
            <w:rStyle w:val="Hyperlink"/>
          </w:rPr>
          <w:t>Supplier Set-up Process</w:t>
        </w:r>
      </w:hyperlink>
      <w:r w:rsidRPr="00280E6A">
        <w:t>.</w:t>
      </w:r>
    </w:p>
    <w:p w14:paraId="3120E128" w14:textId="77777777" w:rsidR="00280E6A" w:rsidRPr="00280E6A" w:rsidRDefault="00280E6A" w:rsidP="00280E6A">
      <w:r w:rsidRPr="00280E6A">
        <w:t xml:space="preserve">Please ensure that a report and authorisation from either the Area Manager or Head of Service, as referred to in parts 1 and 2 (section 6.4), any </w:t>
      </w:r>
      <w:proofErr w:type="gramStart"/>
      <w:r w:rsidRPr="00280E6A">
        <w:t>Third Party</w:t>
      </w:r>
      <w:proofErr w:type="gramEnd"/>
      <w:r w:rsidRPr="00280E6A">
        <w:t xml:space="preserve"> Agreement, and the correct receipt address for the Framework Agreement pack is included with the information sent to the Commercial Team.</w:t>
      </w:r>
    </w:p>
    <w:p w14:paraId="556A80FD" w14:textId="77777777" w:rsidR="00280E6A" w:rsidRPr="00280E6A" w:rsidRDefault="00280E6A" w:rsidP="00280E6A">
      <w:pPr>
        <w:rPr>
          <w:b/>
          <w:bCs/>
        </w:rPr>
      </w:pPr>
      <w:r w:rsidRPr="00280E6A">
        <w:rPr>
          <w:b/>
          <w:bCs/>
        </w:rPr>
        <w:t>6.6 References and Care Quality Commission (CQC) Inspection Reports</w:t>
      </w:r>
    </w:p>
    <w:p w14:paraId="71E3525C" w14:textId="77777777" w:rsidR="00280E6A" w:rsidRPr="00280E6A" w:rsidRDefault="00280E6A" w:rsidP="00280E6A">
      <w:r w:rsidRPr="00280E6A">
        <w:t>Once the correctly completed Pro Forma has been received, the Business Support Team will run a series of checks to ensure we have a satisfactory reference from the host authority and that there are no outstanding issues from the last two CQC Inspection Reports (see the </w:t>
      </w:r>
      <w:hyperlink r:id="rId59" w:tgtFrame="_blank" w:history="1">
        <w:r w:rsidRPr="00280E6A">
          <w:rPr>
            <w:rStyle w:val="Hyperlink"/>
          </w:rPr>
          <w:t>CQC website</w:t>
        </w:r>
      </w:hyperlink>
      <w:r w:rsidRPr="00280E6A">
        <w:t xml:space="preserve">). When the reference is returned, the Framework Agreement can be sent out to the provider. If there is any problem with the placement or authorisation, the placing officer will be contacted and advised of what further information or authorisation is required </w:t>
      </w:r>
      <w:proofErr w:type="gramStart"/>
      <w:r w:rsidRPr="00280E6A">
        <w:t>in order to</w:t>
      </w:r>
      <w:proofErr w:type="gramEnd"/>
      <w:r w:rsidRPr="00280E6A">
        <w:t xml:space="preserve"> allow the placement to go ahead.</w:t>
      </w:r>
    </w:p>
    <w:p w14:paraId="38DB7534" w14:textId="77777777" w:rsidR="00280E6A" w:rsidRPr="00280E6A" w:rsidRDefault="00280E6A" w:rsidP="00280E6A">
      <w:pPr>
        <w:rPr>
          <w:b/>
          <w:bCs/>
        </w:rPr>
      </w:pPr>
      <w:r w:rsidRPr="00280E6A">
        <w:rPr>
          <w:b/>
          <w:bCs/>
        </w:rPr>
        <w:t>6.7 Confirmation of placement</w:t>
      </w:r>
    </w:p>
    <w:p w14:paraId="562C2761" w14:textId="77777777" w:rsidR="00280E6A" w:rsidRPr="00280E6A" w:rsidRDefault="00280E6A" w:rsidP="00280E6A">
      <w:r w:rsidRPr="00280E6A">
        <w:t>When the executed Framework Agreement has been returned to the provider, the Business Support Team will contact the placing officer by e-mail to confirm that the placement can go ahead. At this stage, steps will also be taken to add the provider as a supplier on our systems. Once the provider has been set up as a supplier, the Purchase Service Request can be completed.</w:t>
      </w:r>
    </w:p>
    <w:p w14:paraId="76EF85C2" w14:textId="77777777" w:rsidR="00280E6A" w:rsidRPr="00280E6A" w:rsidRDefault="00280E6A" w:rsidP="00280E6A">
      <w:pPr>
        <w:rPr>
          <w:b/>
          <w:bCs/>
        </w:rPr>
      </w:pPr>
      <w:r w:rsidRPr="00280E6A">
        <w:rPr>
          <w:b/>
          <w:bCs/>
        </w:rPr>
        <w:t>6.8 Pro Forma part 2</w:t>
      </w:r>
    </w:p>
    <w:p w14:paraId="5DEB554B" w14:textId="77777777" w:rsidR="00280E6A" w:rsidRPr="00280E6A" w:rsidRDefault="00280E6A" w:rsidP="00280E6A">
      <w:r w:rsidRPr="00280E6A">
        <w:t>The Business Support Team will then complete Part 2 of the Pro Forma, which will include such tasks as informing the host authority that Lincolnshire has made a placement to a care home in their area.</w:t>
      </w:r>
    </w:p>
    <w:p w14:paraId="2833F4CA" w14:textId="77777777" w:rsidR="00280E6A" w:rsidRPr="00280E6A" w:rsidRDefault="00280E6A" w:rsidP="00280E6A">
      <w:r w:rsidRPr="00280E6A">
        <w:t>Local authorities have been charged with ensuring that information is passed on about any people known to them who move to another area. Relevant guidance is provided in </w:t>
      </w:r>
      <w:hyperlink r:id="rId60" w:anchor="Chapter20" w:tgtFrame="_blank" w:history="1">
        <w:r w:rsidRPr="00280E6A">
          <w:rPr>
            <w:rStyle w:val="Hyperlink"/>
          </w:rPr>
          <w:t>Chapter 20, Continuity of Care</w:t>
        </w:r>
      </w:hyperlink>
      <w:r w:rsidRPr="00280E6A">
        <w:t> of the Care and Support Statutory Guidance.</w:t>
      </w:r>
    </w:p>
    <w:p w14:paraId="6C42BB5A" w14:textId="77777777" w:rsidR="00280E6A" w:rsidRPr="00280E6A" w:rsidRDefault="00280E6A" w:rsidP="00280E6A">
      <w:r w:rsidRPr="00280E6A">
        <w:t>If a local authority places someone in accommodation, provided by the independent sector, which is outside Lincolnshire, they should always inform the host authority of the placement. This is to ensure the host authority is aware of the person in their area and to enable both authorities to agree on the suitability of the placement.</w:t>
      </w:r>
    </w:p>
    <w:p w14:paraId="571A60F5" w14:textId="77777777" w:rsidR="00280E6A" w:rsidRPr="00280E6A" w:rsidRDefault="00280E6A" w:rsidP="00280E6A">
      <w:pPr>
        <w:rPr>
          <w:b/>
          <w:bCs/>
        </w:rPr>
      </w:pPr>
      <w:r w:rsidRPr="00280E6A">
        <w:rPr>
          <w:b/>
          <w:bCs/>
        </w:rPr>
        <w:t>6.9 Authorisation</w:t>
      </w:r>
    </w:p>
    <w:p w14:paraId="2A067B2F" w14:textId="77777777" w:rsidR="00280E6A" w:rsidRPr="00280E6A" w:rsidRDefault="00280E6A" w:rsidP="00280E6A">
      <w:r w:rsidRPr="00280E6A">
        <w:t>If the bed price is above Lincolnshire’s expected cost, it is vital that you get appropriate authorisation from either the Area Manager or your Head of Service before a placement is arranged (see parts 1 and 2 in section 6.4) as the placement cannot go ahead without it.</w:t>
      </w:r>
    </w:p>
    <w:p w14:paraId="55B08E4B" w14:textId="77777777" w:rsidR="00280E6A" w:rsidRPr="00280E6A" w:rsidRDefault="00280E6A" w:rsidP="00280E6A">
      <w:pPr>
        <w:rPr>
          <w:b/>
          <w:bCs/>
        </w:rPr>
      </w:pPr>
      <w:r w:rsidRPr="00280E6A">
        <w:rPr>
          <w:b/>
          <w:bCs/>
        </w:rPr>
        <w:t>6.10 Funding of out of county placements</w:t>
      </w:r>
    </w:p>
    <w:p w14:paraId="714FB360" w14:textId="77777777" w:rsidR="00280E6A" w:rsidRPr="00280E6A" w:rsidRDefault="00280E6A" w:rsidP="00280E6A">
      <w:r w:rsidRPr="00280E6A">
        <w:t>This applies to all placements, (temporary and permanent residency) made in out of county accommodation.</w:t>
      </w:r>
    </w:p>
    <w:p w14:paraId="19A16BCE" w14:textId="77777777" w:rsidR="00280E6A" w:rsidRPr="00280E6A" w:rsidRDefault="00280E6A" w:rsidP="00280E6A">
      <w:pPr>
        <w:numPr>
          <w:ilvl w:val="0"/>
          <w:numId w:val="13"/>
        </w:numPr>
      </w:pPr>
      <w:r w:rsidRPr="00280E6A">
        <w:t>Placements should normally be made at, or below Adult Care’s expected cost.</w:t>
      </w:r>
    </w:p>
    <w:p w14:paraId="60B1701C" w14:textId="77777777" w:rsidR="00280E6A" w:rsidRPr="00280E6A" w:rsidRDefault="00280E6A" w:rsidP="00280E6A">
      <w:pPr>
        <w:numPr>
          <w:ilvl w:val="0"/>
          <w:numId w:val="13"/>
        </w:numPr>
      </w:pPr>
      <w:r w:rsidRPr="00280E6A">
        <w:t xml:space="preserve">Where the Framework Agreement price for a placement is above Adult Care’s expected cost, a </w:t>
      </w:r>
      <w:proofErr w:type="gramStart"/>
      <w:r w:rsidRPr="00280E6A">
        <w:t>Third Party</w:t>
      </w:r>
      <w:proofErr w:type="gramEnd"/>
      <w:r w:rsidRPr="00280E6A">
        <w:t xml:space="preserve"> Agreement will normally be required before the placement can be confirmed. However, no Third Party or person may be charged a top up in circumstances where the accommodation is the only option available to meet the person’s assessed needs at the time of placement.</w:t>
      </w:r>
    </w:p>
    <w:p w14:paraId="1226DDCF" w14:textId="77777777" w:rsidR="00280E6A" w:rsidRPr="00280E6A" w:rsidRDefault="00280E6A" w:rsidP="00280E6A">
      <w:pPr>
        <w:numPr>
          <w:ilvl w:val="0"/>
          <w:numId w:val="13"/>
        </w:numPr>
      </w:pPr>
      <w:r w:rsidRPr="00280E6A">
        <w:t>Out of county providers must agree to all terms and conditions of the Framework Agreement for the Provision of Permanent and Temporary Personal and Nursing Home Care before a placement may commence. Placements can only be confirmed where the provider has accepted these terms and conditions.</w:t>
      </w:r>
    </w:p>
    <w:p w14:paraId="7817F66F" w14:textId="77777777" w:rsidR="00280E6A" w:rsidRPr="00280E6A" w:rsidRDefault="00280E6A" w:rsidP="00280E6A">
      <w:pPr>
        <w:numPr>
          <w:ilvl w:val="0"/>
          <w:numId w:val="13"/>
        </w:numPr>
      </w:pPr>
      <w:r w:rsidRPr="00280E6A">
        <w:t>Where no Third Party is available and where an out of county provider has fees higher than Adult Care’s expected cost, or in circumstances where the person’s choice has been diminished due to the nature of their assessed needs, the appropriate Area Manager or Head of Service will need to approve the extra cost to be paid by Lincolnshire County Council on the proforma.</w:t>
      </w:r>
    </w:p>
    <w:p w14:paraId="4A55EEEB" w14:textId="77777777" w:rsidR="00280E6A" w:rsidRPr="00280E6A" w:rsidRDefault="00280E6A" w:rsidP="00280E6A">
      <w:pPr>
        <w:numPr>
          <w:ilvl w:val="0"/>
          <w:numId w:val="13"/>
        </w:numPr>
      </w:pPr>
      <w:r w:rsidRPr="00280E6A">
        <w:t>Where the fees are higher than Adult Care’s expected cost but meet the expected cost of the host authority, written approval can be given by the Area Manager. Head of Service approval is required if the fees are higher than both Adult Care’s expected cost and the host authority’s expected cost.</w:t>
      </w:r>
    </w:p>
    <w:p w14:paraId="5DBB8B1B" w14:textId="77777777" w:rsidR="00280E6A" w:rsidRPr="00280E6A" w:rsidRDefault="00280E6A" w:rsidP="00280E6A">
      <w:pPr>
        <w:numPr>
          <w:ilvl w:val="0"/>
          <w:numId w:val="13"/>
        </w:numPr>
      </w:pPr>
      <w:r w:rsidRPr="00280E6A">
        <w:t>If it has been clearly identified that there is an assessed need to place out of county, the availability of an in-county placement cannot be used as evidence of a place at Adult Care’s expected cost and Adult Care must pay the host authority’s expected cost.</w:t>
      </w:r>
    </w:p>
    <w:p w14:paraId="7ED46D90" w14:textId="77777777" w:rsidR="00280E6A" w:rsidRPr="00280E6A" w:rsidRDefault="00280E6A" w:rsidP="00280E6A">
      <w:pPr>
        <w:numPr>
          <w:ilvl w:val="0"/>
          <w:numId w:val="13"/>
        </w:numPr>
      </w:pPr>
      <w:r w:rsidRPr="00280E6A">
        <w:t>If the appropriate Area Manager or Head of Service refuses a placement that has been chosen by a person, the reasons for refusal must be made in writing. Refusals should only be made on the grounds that a home has been deemed unsuitable in terms of meeting the needs of the person or that the costs due to be incurred for a placement are financially prohibitive and that there is clear evidence that beds are available at a lower price in homes which meet the person’s needs.</w:t>
      </w:r>
    </w:p>
    <w:p w14:paraId="367C1696" w14:textId="77777777" w:rsidR="00280E6A" w:rsidRPr="00280E6A" w:rsidRDefault="00280E6A" w:rsidP="00280E6A">
      <w:pPr>
        <w:rPr>
          <w:b/>
          <w:bCs/>
        </w:rPr>
      </w:pPr>
      <w:r w:rsidRPr="00280E6A">
        <w:rPr>
          <w:b/>
          <w:bCs/>
        </w:rPr>
        <w:t>7. Adult Social Care Staff Visiting Care Homes</w:t>
      </w:r>
    </w:p>
    <w:p w14:paraId="517B5A46" w14:textId="77777777" w:rsidR="00280E6A" w:rsidRPr="00280E6A" w:rsidRDefault="00280E6A" w:rsidP="00280E6A">
      <w:r w:rsidRPr="00280E6A">
        <w:rPr>
          <w:b/>
          <w:bCs/>
        </w:rPr>
        <w:t>Please note</w:t>
      </w:r>
      <w:r w:rsidRPr="00280E6A">
        <w:t>: In January 2022, the Secretary of State for Health and Social Care announced that the legal requirement on mandatory vaccinations for health and social care staff is set to be overturned. When that happens, this chapter will be revised accordingly. The government states that those working in health and social care still have a professional duty to get vaccinated; it is working with partners to strengthen guidance and consult on updates to the Department of Health and Social Care’s Code of Practice. For more information see </w:t>
      </w:r>
      <w:hyperlink r:id="rId61" w:tgtFrame="_blank" w:history="1">
        <w:r w:rsidRPr="00280E6A">
          <w:rPr>
            <w:rStyle w:val="Hyperlink"/>
          </w:rPr>
          <w:t>gov.uk</w:t>
        </w:r>
      </w:hyperlink>
      <w:r w:rsidRPr="00280E6A">
        <w:t> website</w:t>
      </w:r>
    </w:p>
    <w:p w14:paraId="04430AD9" w14:textId="77777777" w:rsidR="00280E6A" w:rsidRPr="00280E6A" w:rsidRDefault="00280E6A" w:rsidP="00280E6A">
      <w:pPr>
        <w:rPr>
          <w:b/>
          <w:bCs/>
        </w:rPr>
      </w:pPr>
      <w:r w:rsidRPr="00280E6A">
        <w:rPr>
          <w:b/>
          <w:bCs/>
        </w:rPr>
        <w:t>7.1 Introduction</w:t>
      </w:r>
    </w:p>
    <w:p w14:paraId="1B03CB06" w14:textId="77777777" w:rsidR="00280E6A" w:rsidRPr="00280E6A" w:rsidRDefault="00280E6A" w:rsidP="00280E6A">
      <w:r w:rsidRPr="00280E6A">
        <w:t>In </w:t>
      </w:r>
      <w:hyperlink r:id="rId62" w:tgtFrame="_blank" w:history="1">
        <w:r w:rsidRPr="00280E6A">
          <w:rPr>
            <w:rStyle w:val="Hyperlink"/>
          </w:rPr>
          <w:t>Coronavirus (COVID-19) Vaccination of People Working or Deployed in Care Homes: Operational Guidance</w:t>
        </w:r>
      </w:hyperlink>
      <w:r w:rsidRPr="00280E6A">
        <w:t xml:space="preserve">, the Department of Health and Social Care states: ‘Vaccinated people are better protected from severe illness and death as a result of COVID-19….There is evidence to suggest that the COVID-19 vaccine also prevents those who catch the virus from infecting other people…. The virus will remain in some shape or </w:t>
      </w:r>
      <w:proofErr w:type="gramStart"/>
      <w:r w:rsidRPr="00280E6A">
        <w:t>form</w:t>
      </w:r>
      <w:proofErr w:type="gramEnd"/>
      <w:r w:rsidRPr="00280E6A">
        <w:t xml:space="preserve"> and we will have to learn to live with it. It will continue to circulate, potentially evolving into new variants.’</w:t>
      </w:r>
    </w:p>
    <w:p w14:paraId="7B9074C0" w14:textId="77777777" w:rsidR="00280E6A" w:rsidRPr="00280E6A" w:rsidRDefault="00280E6A" w:rsidP="00280E6A">
      <w:r w:rsidRPr="00280E6A">
        <w:t>As from 11 November 2021, it is law that anyone entering a care home must have had a complete course of an authorised COVID-19 vaccine or be medically exempt (see </w:t>
      </w:r>
      <w:hyperlink r:id="rId63" w:anchor="75_Medical_Exemptions" w:history="1">
        <w:r w:rsidRPr="00280E6A">
          <w:rPr>
            <w:rStyle w:val="Hyperlink"/>
          </w:rPr>
          <w:t>Section 7.5, Medical Exemptions</w:t>
        </w:r>
      </w:hyperlink>
      <w:r w:rsidRPr="00280E6A">
        <w:t>).</w:t>
      </w:r>
    </w:p>
    <w:p w14:paraId="6FDBE634" w14:textId="77777777" w:rsidR="00280E6A" w:rsidRPr="00280E6A" w:rsidRDefault="00280E6A" w:rsidP="00280E6A">
      <w:r w:rsidRPr="00280E6A">
        <w:t>This also applies to those visiting a care home in a professional capacity, unless they are exempt or attending in an emergency (see also </w:t>
      </w:r>
      <w:hyperlink r:id="rId64" w:anchor="guidance-for-visiting-professionals" w:tgtFrame="_blank" w:history="1">
        <w:r w:rsidRPr="00280E6A">
          <w:rPr>
            <w:rStyle w:val="Hyperlink"/>
          </w:rPr>
          <w:t>Guidance for visiting professionals, DHSC</w:t>
        </w:r>
      </w:hyperlink>
      <w:r w:rsidRPr="00280E6A">
        <w:t>).</w:t>
      </w:r>
    </w:p>
    <w:p w14:paraId="621B4DDA" w14:textId="77777777" w:rsidR="00280E6A" w:rsidRPr="00280E6A" w:rsidRDefault="00280E6A" w:rsidP="00280E6A">
      <w:r w:rsidRPr="00280E6A">
        <w:t>This chapter is a summary of the guidance published by the Department of Health and Social Care. See the full guidance </w:t>
      </w:r>
      <w:hyperlink r:id="rId65" w:tgtFrame="_blank" w:history="1">
        <w:r w:rsidRPr="00280E6A">
          <w:rPr>
            <w:rStyle w:val="Hyperlink"/>
          </w:rPr>
          <w:t>Coronavirus (COVID-19) Vaccination of People Working or Deployed in Care Homes: Operational Guidance (DHSC)</w:t>
        </w:r>
      </w:hyperlink>
      <w:r w:rsidRPr="00280E6A">
        <w:t> for more information.</w:t>
      </w:r>
    </w:p>
    <w:p w14:paraId="4C8692DD" w14:textId="77777777" w:rsidR="00280E6A" w:rsidRPr="00280E6A" w:rsidRDefault="00280E6A" w:rsidP="00280E6A">
      <w:pPr>
        <w:rPr>
          <w:b/>
          <w:bCs/>
        </w:rPr>
      </w:pPr>
      <w:r w:rsidRPr="00280E6A">
        <w:rPr>
          <w:b/>
          <w:bCs/>
        </w:rPr>
        <w:t>7.1.1 Summary of the regulations</w:t>
      </w:r>
    </w:p>
    <w:p w14:paraId="61BD0CFD" w14:textId="77777777" w:rsidR="00280E6A" w:rsidRPr="00280E6A" w:rsidRDefault="00280E6A" w:rsidP="00280E6A">
      <w:r w:rsidRPr="00280E6A">
        <w:t>The regulations mean that all CQC-registered care homes must make sure that a person does not enter the care home unless:</w:t>
      </w:r>
    </w:p>
    <w:p w14:paraId="2CA8248C" w14:textId="77777777" w:rsidR="00280E6A" w:rsidRPr="00280E6A" w:rsidRDefault="00280E6A" w:rsidP="00280E6A">
      <w:pPr>
        <w:numPr>
          <w:ilvl w:val="0"/>
          <w:numId w:val="14"/>
        </w:numPr>
      </w:pPr>
      <w:r w:rsidRPr="00280E6A">
        <w:t>they have provided satisfactory evidence that:</w:t>
      </w:r>
    </w:p>
    <w:p w14:paraId="498ED225" w14:textId="77777777" w:rsidR="00280E6A" w:rsidRPr="00280E6A" w:rsidRDefault="00280E6A" w:rsidP="00280E6A">
      <w:pPr>
        <w:numPr>
          <w:ilvl w:val="1"/>
          <w:numId w:val="14"/>
        </w:numPr>
      </w:pPr>
      <w:r w:rsidRPr="00280E6A">
        <w:t>they have been vaccinated with the complete course of an authorised vaccine (see </w:t>
      </w:r>
      <w:hyperlink r:id="rId66" w:anchor="73_Demonstrating_Vaccination_Status" w:history="1">
        <w:r w:rsidRPr="00280E6A">
          <w:rPr>
            <w:rStyle w:val="Hyperlink"/>
          </w:rPr>
          <w:t>Section 7.3, Demonstrating Vaccine Status</w:t>
        </w:r>
      </w:hyperlink>
      <w:r w:rsidRPr="00280E6A">
        <w:t>); or</w:t>
      </w:r>
    </w:p>
    <w:p w14:paraId="0720B3A1" w14:textId="77777777" w:rsidR="00280E6A" w:rsidRPr="00280E6A" w:rsidRDefault="00280E6A" w:rsidP="00280E6A">
      <w:pPr>
        <w:numPr>
          <w:ilvl w:val="1"/>
          <w:numId w:val="14"/>
        </w:numPr>
      </w:pPr>
      <w:r w:rsidRPr="00280E6A">
        <w:t>they, should not be vaccinated for medical reasons (see </w:t>
      </w:r>
      <w:hyperlink r:id="rId67" w:anchor="75_Medical_Exemptions" w:history="1">
        <w:r w:rsidRPr="00280E6A">
          <w:rPr>
            <w:rStyle w:val="Hyperlink"/>
          </w:rPr>
          <w:t>Section 7.5, Medical Exemptions</w:t>
        </w:r>
      </w:hyperlink>
      <w:r w:rsidRPr="00280E6A">
        <w:t>);</w:t>
      </w:r>
    </w:p>
    <w:p w14:paraId="0C97E755" w14:textId="77777777" w:rsidR="00280E6A" w:rsidRPr="00280E6A" w:rsidRDefault="00280E6A" w:rsidP="00280E6A">
      <w:pPr>
        <w:numPr>
          <w:ilvl w:val="0"/>
          <w:numId w:val="14"/>
        </w:numPr>
      </w:pPr>
      <w:r w:rsidRPr="00280E6A">
        <w:t xml:space="preserve">they need to provide emergency assistance in the care </w:t>
      </w:r>
      <w:proofErr w:type="gramStart"/>
      <w:r w:rsidRPr="00280E6A">
        <w:t>home;</w:t>
      </w:r>
      <w:proofErr w:type="gramEnd"/>
    </w:p>
    <w:p w14:paraId="3A925210" w14:textId="77777777" w:rsidR="00280E6A" w:rsidRPr="00280E6A" w:rsidRDefault="00280E6A" w:rsidP="00280E6A">
      <w:pPr>
        <w:numPr>
          <w:ilvl w:val="0"/>
          <w:numId w:val="14"/>
        </w:numPr>
      </w:pPr>
      <w:r w:rsidRPr="00280E6A">
        <w:t>they are under the age of 18.</w:t>
      </w:r>
    </w:p>
    <w:p w14:paraId="1A6313C5" w14:textId="77777777" w:rsidR="00280E6A" w:rsidRPr="00280E6A" w:rsidRDefault="00280E6A" w:rsidP="00280E6A">
      <w:r w:rsidRPr="00280E6A">
        <w:t>The vaccination requirement only applies to people who go inside a care setting (the definition of ‘care home’ does not include any surrounding grounds). If someone is not entering the building, they do not need to show their vaccination status.</w:t>
      </w:r>
    </w:p>
    <w:p w14:paraId="65FA2BE1" w14:textId="77777777" w:rsidR="00280E6A" w:rsidRPr="00280E6A" w:rsidRDefault="00280E6A" w:rsidP="00280E6A">
      <w:pPr>
        <w:rPr>
          <w:b/>
          <w:bCs/>
        </w:rPr>
      </w:pPr>
      <w:r w:rsidRPr="00280E6A">
        <w:rPr>
          <w:b/>
          <w:bCs/>
        </w:rPr>
        <w:t>7.2 Guidance for Registered Persons</w:t>
      </w:r>
    </w:p>
    <w:p w14:paraId="4972433C" w14:textId="77777777" w:rsidR="00280E6A" w:rsidRPr="00280E6A" w:rsidRDefault="00280E6A" w:rsidP="00280E6A">
      <w:r w:rsidRPr="00280E6A">
        <w:t>The person registered with the CQC as a manager or service provider must ensure that they do not allow anyone to enter the inside of a care home, unless they have had a complete course of doses of an authorised vaccine or are exempt (see also </w:t>
      </w:r>
      <w:hyperlink r:id="rId68" w:anchor="75_Medical_Exemptions" w:history="1">
        <w:r w:rsidRPr="00280E6A">
          <w:rPr>
            <w:rStyle w:val="Hyperlink"/>
          </w:rPr>
          <w:t>Section 7.5, Medical Exemptions</w:t>
        </w:r>
      </w:hyperlink>
      <w:r w:rsidRPr="00280E6A">
        <w:t>).</w:t>
      </w:r>
    </w:p>
    <w:p w14:paraId="3F8A2F3C" w14:textId="77777777" w:rsidR="00280E6A" w:rsidRPr="00280E6A" w:rsidRDefault="00280E6A" w:rsidP="00280E6A">
      <w:r w:rsidRPr="00280E6A">
        <w:t>While checks may be undertaken by other members of staff with instructions from the registered person, it is the registered person who has the overall responsibility for ensuring compliance with the requirements, as stated in this chapter. See </w:t>
      </w:r>
      <w:hyperlink r:id="rId69" w:tgtFrame="_blank" w:history="1">
        <w:r w:rsidRPr="00280E6A">
          <w:rPr>
            <w:rStyle w:val="Hyperlink"/>
          </w:rPr>
          <w:t>Coronavirus (COVID-19) Vaccination of People Working or Deployed in Care Homes: Operational Guidance (DHSC)</w:t>
        </w:r>
      </w:hyperlink>
      <w:r w:rsidRPr="00280E6A">
        <w:t> for more information.</w:t>
      </w:r>
    </w:p>
    <w:p w14:paraId="3342F3DA" w14:textId="77777777" w:rsidR="00280E6A" w:rsidRPr="00280E6A" w:rsidRDefault="00280E6A" w:rsidP="00280E6A">
      <w:r w:rsidRPr="00280E6A">
        <w:t>Adult social care staff visiting care homes should be prepared to have their vaccine status checked by a member of the care home staff.</w:t>
      </w:r>
    </w:p>
    <w:p w14:paraId="2A91D0FB" w14:textId="77777777" w:rsidR="00280E6A" w:rsidRPr="00280E6A" w:rsidRDefault="00280E6A" w:rsidP="00280E6A">
      <w:pPr>
        <w:rPr>
          <w:b/>
          <w:bCs/>
        </w:rPr>
      </w:pPr>
      <w:r w:rsidRPr="00280E6A">
        <w:rPr>
          <w:b/>
          <w:bCs/>
        </w:rPr>
        <w:t>7.3 Demonstrating Vaccination Status</w:t>
      </w:r>
    </w:p>
    <w:p w14:paraId="370AFE68" w14:textId="77777777" w:rsidR="00280E6A" w:rsidRPr="00280E6A" w:rsidRDefault="00280E6A" w:rsidP="00280E6A">
      <w:r w:rsidRPr="00280E6A">
        <w:t>NHSX are considering how the NHS COVID Pass service could be used to support care home staff to check vaccination status. Meanwhile, those who have been vaccinated by the NHS can demonstrate their COVID-19 vaccination records through:</w:t>
      </w:r>
    </w:p>
    <w:p w14:paraId="3BCEB1B9" w14:textId="77777777" w:rsidR="00280E6A" w:rsidRPr="00280E6A" w:rsidRDefault="00280E6A" w:rsidP="00280E6A">
      <w:pPr>
        <w:numPr>
          <w:ilvl w:val="0"/>
          <w:numId w:val="15"/>
        </w:numPr>
      </w:pPr>
      <w:r w:rsidRPr="00280E6A">
        <w:t xml:space="preserve">the NHS </w:t>
      </w:r>
      <w:proofErr w:type="gramStart"/>
      <w:r w:rsidRPr="00280E6A">
        <w:t>app;</w:t>
      </w:r>
      <w:proofErr w:type="gramEnd"/>
    </w:p>
    <w:p w14:paraId="0384ED2A" w14:textId="77777777" w:rsidR="00280E6A" w:rsidRPr="00280E6A" w:rsidRDefault="00280E6A" w:rsidP="00280E6A">
      <w:pPr>
        <w:numPr>
          <w:ilvl w:val="0"/>
          <w:numId w:val="15"/>
        </w:numPr>
      </w:pPr>
      <w:r w:rsidRPr="00280E6A">
        <w:t xml:space="preserve">the NHS website – </w:t>
      </w:r>
      <w:proofErr w:type="gramStart"/>
      <w:r w:rsidRPr="00280E6A">
        <w:t>NHS.uk;</w:t>
      </w:r>
      <w:proofErr w:type="gramEnd"/>
    </w:p>
    <w:p w14:paraId="1D8B0767" w14:textId="77777777" w:rsidR="00280E6A" w:rsidRPr="00280E6A" w:rsidRDefault="00280E6A" w:rsidP="00280E6A">
      <w:pPr>
        <w:numPr>
          <w:ilvl w:val="0"/>
          <w:numId w:val="15"/>
        </w:numPr>
      </w:pPr>
      <w:r w:rsidRPr="00280E6A">
        <w:t>the NHS COVID Pass letter.</w:t>
      </w:r>
    </w:p>
    <w:p w14:paraId="79A7B529" w14:textId="77777777" w:rsidR="00280E6A" w:rsidRPr="00280E6A" w:rsidRDefault="00280E6A" w:rsidP="00280E6A">
      <w:r w:rsidRPr="00280E6A">
        <w:t>An NHS appointment card cannot be used as proof of vaccination status.</w:t>
      </w:r>
    </w:p>
    <w:p w14:paraId="31DDCF52" w14:textId="77777777" w:rsidR="00280E6A" w:rsidRPr="00280E6A" w:rsidRDefault="00280E6A" w:rsidP="00280E6A">
      <w:pPr>
        <w:rPr>
          <w:b/>
          <w:bCs/>
        </w:rPr>
      </w:pPr>
      <w:r w:rsidRPr="00280E6A">
        <w:rPr>
          <w:b/>
          <w:bCs/>
        </w:rPr>
        <w:t>7.4 Record Keeping</w:t>
      </w:r>
    </w:p>
    <w:p w14:paraId="25674625" w14:textId="77777777" w:rsidR="00280E6A" w:rsidRPr="00280E6A" w:rsidRDefault="00280E6A" w:rsidP="00280E6A">
      <w:r w:rsidRPr="00280E6A">
        <w:t>Adult social care staff visiting care homes should be aware that records will need to be kept regarding vaccine status of those visiting care homes.</w:t>
      </w:r>
    </w:p>
    <w:p w14:paraId="05FACC9E" w14:textId="77777777" w:rsidR="00280E6A" w:rsidRPr="00280E6A" w:rsidRDefault="00280E6A" w:rsidP="00280E6A">
      <w:r w:rsidRPr="00280E6A">
        <w:t>The registered person must keep records so that they can demonstrate the care home is compliant with the regulations. These must be in line with data protection principles and legislation. Records may also be accessed by the CQC as part of an inspection.</w:t>
      </w:r>
    </w:p>
    <w:p w14:paraId="01886E58" w14:textId="77777777" w:rsidR="00280E6A" w:rsidRPr="00280E6A" w:rsidRDefault="00280E6A" w:rsidP="00280E6A">
      <w:r w:rsidRPr="00280E6A">
        <w:t>The registered person should keep a record of:</w:t>
      </w:r>
    </w:p>
    <w:p w14:paraId="69FDC822" w14:textId="77777777" w:rsidR="00280E6A" w:rsidRPr="00280E6A" w:rsidRDefault="00280E6A" w:rsidP="00280E6A">
      <w:pPr>
        <w:numPr>
          <w:ilvl w:val="0"/>
          <w:numId w:val="16"/>
        </w:numPr>
      </w:pPr>
      <w:r w:rsidRPr="00280E6A">
        <w:t xml:space="preserve">the vaccination or exemption status of staff members and the date it was last </w:t>
      </w:r>
      <w:proofErr w:type="gramStart"/>
      <w:r w:rsidRPr="00280E6A">
        <w:t>checked;</w:t>
      </w:r>
      <w:proofErr w:type="gramEnd"/>
    </w:p>
    <w:p w14:paraId="47F3B9F6" w14:textId="77777777" w:rsidR="00280E6A" w:rsidRPr="00280E6A" w:rsidRDefault="00280E6A" w:rsidP="00280E6A">
      <w:pPr>
        <w:numPr>
          <w:ilvl w:val="0"/>
          <w:numId w:val="16"/>
        </w:numPr>
      </w:pPr>
      <w:r w:rsidRPr="00280E6A">
        <w:t>the vaccination or exemption status of those entering the care home (unless exempt) and the date that the status was last checked.</w:t>
      </w:r>
    </w:p>
    <w:p w14:paraId="6C31F01A" w14:textId="77777777" w:rsidR="00280E6A" w:rsidRPr="00280E6A" w:rsidRDefault="00280E6A" w:rsidP="00280E6A">
      <w:r w:rsidRPr="00280E6A">
        <w:t>Their status should be recorded on the care home’s local system (for example IT system or paper record).</w:t>
      </w:r>
    </w:p>
    <w:p w14:paraId="52D4F833" w14:textId="77777777" w:rsidR="00280E6A" w:rsidRPr="00280E6A" w:rsidRDefault="00280E6A" w:rsidP="00280E6A">
      <w:r w:rsidRPr="00280E6A">
        <w:t>There is no requirement to record the reason behind an exemption; they should only record whether a person is medically exempt or not.</w:t>
      </w:r>
    </w:p>
    <w:p w14:paraId="4F42A5F3" w14:textId="77777777" w:rsidR="00280E6A" w:rsidRPr="00280E6A" w:rsidRDefault="00280E6A" w:rsidP="00280E6A">
      <w:r w:rsidRPr="00280E6A">
        <w:t>People only need to provide evidence on the first occasion they enter or register. The care home’s record can be checked, rather than evidence being required each time.</w:t>
      </w:r>
    </w:p>
    <w:p w14:paraId="4AE54AEC" w14:textId="77777777" w:rsidR="00280E6A" w:rsidRPr="00280E6A" w:rsidRDefault="00280E6A" w:rsidP="00280E6A">
      <w:pPr>
        <w:rPr>
          <w:b/>
          <w:bCs/>
        </w:rPr>
      </w:pPr>
      <w:r w:rsidRPr="00280E6A">
        <w:rPr>
          <w:b/>
          <w:bCs/>
        </w:rPr>
        <w:t>7.5 Medical Exemptions</w:t>
      </w:r>
    </w:p>
    <w:p w14:paraId="59780BEF" w14:textId="77777777" w:rsidR="00280E6A" w:rsidRPr="00280E6A" w:rsidRDefault="00280E6A" w:rsidP="00280E6A">
      <w:r w:rsidRPr="00280E6A">
        <w:t>See also </w:t>
      </w:r>
      <w:hyperlink r:id="rId70" w:anchor="general-guidance-on-medical-exemptions" w:tgtFrame="_blank" w:history="1">
        <w:r w:rsidRPr="00280E6A">
          <w:rPr>
            <w:rStyle w:val="Hyperlink"/>
          </w:rPr>
          <w:t>General Guidance on Medical Exemptions (DHSC)</w:t>
        </w:r>
      </w:hyperlink>
    </w:p>
    <w:p w14:paraId="6D6EC59C" w14:textId="77777777" w:rsidR="00280E6A" w:rsidRPr="00280E6A" w:rsidRDefault="00280E6A" w:rsidP="00280E6A">
      <w:r w:rsidRPr="00280E6A">
        <w:t>Some people cannot receive a vaccination for medical reasons. If so, they will be able to ask for a clinically approved medical exemption from the need to be vaccinated.</w:t>
      </w:r>
    </w:p>
    <w:p w14:paraId="4D9FE031" w14:textId="77777777" w:rsidR="00280E6A" w:rsidRPr="00280E6A" w:rsidRDefault="00280E6A" w:rsidP="00280E6A">
      <w:r w:rsidRPr="00280E6A">
        <w:t>There will be a clear process to follow if people think they may have a clinical reason to be exempt. Guidance for certification is being developed and this information will be updated when it has been published.</w:t>
      </w:r>
    </w:p>
    <w:p w14:paraId="09688EA5" w14:textId="77777777" w:rsidR="00280E6A" w:rsidRPr="00280E6A" w:rsidRDefault="00280E6A" w:rsidP="00280E6A">
      <w:r w:rsidRPr="00280E6A">
        <w:t>Managers should do a risk assessment for those who are exempt from vaccination. This means they will assess the potential risk to the spread of COVID-19 caused by unvaccinated (but exempt) members of staff coming into the care home. They may put in place measures to help reduce this risk, for example by asking exempt members of staff to wear more personal protective equipment (PPE), different types of PPE or by suggesting a change to their duties. See also Section </w:t>
      </w:r>
      <w:hyperlink r:id="rId71" w:anchor="76_Reducing_Risk_of_Transmission" w:history="1">
        <w:r w:rsidRPr="00280E6A">
          <w:rPr>
            <w:rStyle w:val="Hyperlink"/>
          </w:rPr>
          <w:t>7.6, Reducing Risk of Transmission</w:t>
        </w:r>
      </w:hyperlink>
      <w:r w:rsidRPr="00280E6A">
        <w:t> below.</w:t>
      </w:r>
    </w:p>
    <w:p w14:paraId="0B35176D" w14:textId="77777777" w:rsidR="00280E6A" w:rsidRPr="00280E6A" w:rsidRDefault="00280E6A" w:rsidP="00280E6A">
      <w:pPr>
        <w:rPr>
          <w:b/>
          <w:bCs/>
        </w:rPr>
      </w:pPr>
      <w:r w:rsidRPr="00280E6A">
        <w:rPr>
          <w:b/>
          <w:bCs/>
        </w:rPr>
        <w:t>7.6 Reducing Risk of Transmission</w:t>
      </w:r>
    </w:p>
    <w:p w14:paraId="0ED06F04" w14:textId="77777777" w:rsidR="00280E6A" w:rsidRPr="00280E6A" w:rsidRDefault="00280E6A" w:rsidP="00280E6A">
      <w:r w:rsidRPr="00280E6A">
        <w:t>See also </w:t>
      </w:r>
      <w:hyperlink r:id="rId72" w:tgtFrame="_blank" w:history="1">
        <w:r w:rsidRPr="00280E6A">
          <w:rPr>
            <w:rStyle w:val="Hyperlink"/>
          </w:rPr>
          <w:t>COVID-19: How to Work Safely in Care Homes (DHSC)</w:t>
        </w:r>
      </w:hyperlink>
    </w:p>
    <w:p w14:paraId="6D3FABB1" w14:textId="77777777" w:rsidR="00280E6A" w:rsidRPr="00280E6A" w:rsidRDefault="00280E6A" w:rsidP="00280E6A">
      <w:r w:rsidRPr="00280E6A">
        <w:t>Although everyone entering a care home will either be vaccinated or exempt, it is still very important that everyone continues to follow infection prevention and control measures, including the correct usage of PPE, to reduce the risk of transmission.</w:t>
      </w:r>
    </w:p>
    <w:p w14:paraId="3EAA8AD4" w14:textId="77777777" w:rsidR="00280E6A" w:rsidRPr="00280E6A" w:rsidRDefault="00280E6A" w:rsidP="00280E6A">
      <w:r w:rsidRPr="00280E6A">
        <w:t>Adult social care staff should always follow the instructions from care home staff regarding testing, use of PPE and social distancing for example.</w:t>
      </w:r>
    </w:p>
    <w:p w14:paraId="2F9CC5A7" w14:textId="77777777" w:rsidR="00280E6A" w:rsidRPr="00280E6A" w:rsidRDefault="00280E6A" w:rsidP="00280E6A">
      <w:r w:rsidRPr="00280E6A">
        <w:t>– End –</w:t>
      </w:r>
    </w:p>
    <w:p w14:paraId="0E5661FB" w14:textId="77777777" w:rsidR="000B39CA" w:rsidRDefault="000B39CA"/>
    <w:sectPr w:rsidR="000B3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3C4"/>
    <w:multiLevelType w:val="multilevel"/>
    <w:tmpl w:val="0E50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379CB"/>
    <w:multiLevelType w:val="multilevel"/>
    <w:tmpl w:val="844A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5552CC"/>
    <w:multiLevelType w:val="multilevel"/>
    <w:tmpl w:val="59AED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D017C"/>
    <w:multiLevelType w:val="multilevel"/>
    <w:tmpl w:val="4DDC57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A6B30"/>
    <w:multiLevelType w:val="multilevel"/>
    <w:tmpl w:val="C5B0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74216"/>
    <w:multiLevelType w:val="multilevel"/>
    <w:tmpl w:val="1F2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F6541"/>
    <w:multiLevelType w:val="multilevel"/>
    <w:tmpl w:val="7BCA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2456BA"/>
    <w:multiLevelType w:val="multilevel"/>
    <w:tmpl w:val="CBEA7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932E69"/>
    <w:multiLevelType w:val="multilevel"/>
    <w:tmpl w:val="41F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711E8D"/>
    <w:multiLevelType w:val="multilevel"/>
    <w:tmpl w:val="664E2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0144F0"/>
    <w:multiLevelType w:val="multilevel"/>
    <w:tmpl w:val="D726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DB1D56"/>
    <w:multiLevelType w:val="multilevel"/>
    <w:tmpl w:val="4DA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5F5DD5"/>
    <w:multiLevelType w:val="multilevel"/>
    <w:tmpl w:val="1DD6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4B4B78"/>
    <w:multiLevelType w:val="multilevel"/>
    <w:tmpl w:val="0D7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CC36C4"/>
    <w:multiLevelType w:val="multilevel"/>
    <w:tmpl w:val="9A94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8854CE"/>
    <w:multiLevelType w:val="multilevel"/>
    <w:tmpl w:val="6CC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2630776">
    <w:abstractNumId w:val="5"/>
  </w:num>
  <w:num w:numId="2" w16cid:durableId="466514899">
    <w:abstractNumId w:val="13"/>
  </w:num>
  <w:num w:numId="3" w16cid:durableId="896937802">
    <w:abstractNumId w:val="2"/>
  </w:num>
  <w:num w:numId="4" w16cid:durableId="1393851717">
    <w:abstractNumId w:val="10"/>
  </w:num>
  <w:num w:numId="5" w16cid:durableId="887647107">
    <w:abstractNumId w:val="12"/>
  </w:num>
  <w:num w:numId="6" w16cid:durableId="882014797">
    <w:abstractNumId w:val="15"/>
  </w:num>
  <w:num w:numId="7" w16cid:durableId="2039238315">
    <w:abstractNumId w:val="7"/>
  </w:num>
  <w:num w:numId="8" w16cid:durableId="1664159463">
    <w:abstractNumId w:val="8"/>
  </w:num>
  <w:num w:numId="9" w16cid:durableId="1314718831">
    <w:abstractNumId w:val="3"/>
  </w:num>
  <w:num w:numId="10" w16cid:durableId="604994361">
    <w:abstractNumId w:val="14"/>
  </w:num>
  <w:num w:numId="11" w16cid:durableId="426268252">
    <w:abstractNumId w:val="11"/>
  </w:num>
  <w:num w:numId="12" w16cid:durableId="196116019">
    <w:abstractNumId w:val="0"/>
  </w:num>
  <w:num w:numId="13" w16cid:durableId="448007924">
    <w:abstractNumId w:val="4"/>
  </w:num>
  <w:num w:numId="14" w16cid:durableId="1257132069">
    <w:abstractNumId w:val="9"/>
  </w:num>
  <w:num w:numId="15" w16cid:durableId="1440298208">
    <w:abstractNumId w:val="6"/>
  </w:num>
  <w:num w:numId="16" w16cid:durableId="129371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E6A"/>
    <w:rsid w:val="000641C6"/>
    <w:rsid w:val="000B39CA"/>
    <w:rsid w:val="00280E6A"/>
    <w:rsid w:val="002B6109"/>
    <w:rsid w:val="00517E4C"/>
    <w:rsid w:val="00B87128"/>
    <w:rsid w:val="00DC38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6D96"/>
  <w15:chartTrackingRefBased/>
  <w15:docId w15:val="{D92BAF5A-8285-4DA4-9782-D83CCFB35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0E6A"/>
    <w:rPr>
      <w:color w:val="0563C1" w:themeColor="hyperlink"/>
      <w:u w:val="single"/>
    </w:rPr>
  </w:style>
  <w:style w:type="character" w:styleId="UnresolvedMention">
    <w:name w:val="Unresolved Mention"/>
    <w:basedOn w:val="DefaultParagraphFont"/>
    <w:uiPriority w:val="99"/>
    <w:semiHidden/>
    <w:unhideWhenUsed/>
    <w:rsid w:val="00280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351650">
      <w:bodyDiv w:val="1"/>
      <w:marLeft w:val="0"/>
      <w:marRight w:val="0"/>
      <w:marTop w:val="0"/>
      <w:marBottom w:val="0"/>
      <w:divBdr>
        <w:top w:val="none" w:sz="0" w:space="0" w:color="auto"/>
        <w:left w:val="none" w:sz="0" w:space="0" w:color="auto"/>
        <w:bottom w:val="none" w:sz="0" w:space="0" w:color="auto"/>
        <w:right w:val="none" w:sz="0" w:space="0" w:color="auto"/>
      </w:divBdr>
      <w:divsChild>
        <w:div w:id="1439791896">
          <w:marLeft w:val="0"/>
          <w:marRight w:val="-18950"/>
          <w:marTop w:val="0"/>
          <w:marBottom w:val="0"/>
          <w:divBdr>
            <w:top w:val="none" w:sz="0" w:space="0" w:color="auto"/>
            <w:left w:val="none" w:sz="0" w:space="0" w:color="auto"/>
            <w:bottom w:val="none" w:sz="0" w:space="0" w:color="auto"/>
            <w:right w:val="none" w:sz="0" w:space="0" w:color="auto"/>
          </w:divBdr>
          <w:divsChild>
            <w:div w:id="2119443810">
              <w:marLeft w:val="0"/>
              <w:marRight w:val="0"/>
              <w:marTop w:val="0"/>
              <w:marBottom w:val="0"/>
              <w:divBdr>
                <w:top w:val="none" w:sz="0" w:space="0" w:color="auto"/>
                <w:left w:val="none" w:sz="0" w:space="0" w:color="auto"/>
                <w:bottom w:val="none" w:sz="0" w:space="0" w:color="auto"/>
                <w:right w:val="none" w:sz="0" w:space="0" w:color="auto"/>
              </w:divBdr>
            </w:div>
            <w:div w:id="1780300202">
              <w:marLeft w:val="0"/>
              <w:marRight w:val="0"/>
              <w:marTop w:val="0"/>
              <w:marBottom w:val="0"/>
              <w:divBdr>
                <w:top w:val="none" w:sz="0" w:space="0" w:color="auto"/>
                <w:left w:val="none" w:sz="0" w:space="0" w:color="auto"/>
                <w:bottom w:val="none" w:sz="0" w:space="0" w:color="auto"/>
                <w:right w:val="none" w:sz="0" w:space="0" w:color="auto"/>
              </w:divBdr>
              <w:divsChild>
                <w:div w:id="714618201">
                  <w:marLeft w:val="0"/>
                  <w:marRight w:val="0"/>
                  <w:marTop w:val="0"/>
                  <w:marBottom w:val="0"/>
                  <w:divBdr>
                    <w:top w:val="none" w:sz="0" w:space="0" w:color="auto"/>
                    <w:left w:val="none" w:sz="0" w:space="0" w:color="auto"/>
                    <w:bottom w:val="none" w:sz="0" w:space="0" w:color="auto"/>
                    <w:right w:val="none" w:sz="0" w:space="0" w:color="auto"/>
                  </w:divBdr>
                </w:div>
                <w:div w:id="1070542400">
                  <w:marLeft w:val="0"/>
                  <w:marRight w:val="0"/>
                  <w:marTop w:val="0"/>
                  <w:marBottom w:val="0"/>
                  <w:divBdr>
                    <w:top w:val="none" w:sz="0" w:space="0" w:color="auto"/>
                    <w:left w:val="none" w:sz="0" w:space="0" w:color="auto"/>
                    <w:bottom w:val="none" w:sz="0" w:space="0" w:color="auto"/>
                    <w:right w:val="none" w:sz="0" w:space="0" w:color="auto"/>
                  </w:divBdr>
                  <w:divsChild>
                    <w:div w:id="1178081914">
                      <w:marLeft w:val="0"/>
                      <w:marRight w:val="0"/>
                      <w:marTop w:val="0"/>
                      <w:marBottom w:val="0"/>
                      <w:divBdr>
                        <w:top w:val="none" w:sz="0" w:space="0" w:color="auto"/>
                        <w:left w:val="none" w:sz="0" w:space="0" w:color="auto"/>
                        <w:bottom w:val="none" w:sz="0" w:space="0" w:color="auto"/>
                        <w:right w:val="none" w:sz="0" w:space="0" w:color="auto"/>
                      </w:divBdr>
                      <w:divsChild>
                        <w:div w:id="1147746790">
                          <w:marLeft w:val="0"/>
                          <w:marRight w:val="0"/>
                          <w:marTop w:val="720"/>
                          <w:marBottom w:val="0"/>
                          <w:divBdr>
                            <w:top w:val="none" w:sz="0" w:space="0" w:color="auto"/>
                            <w:left w:val="none" w:sz="0" w:space="0" w:color="auto"/>
                            <w:bottom w:val="none" w:sz="0" w:space="0" w:color="auto"/>
                            <w:right w:val="none" w:sz="0" w:space="0" w:color="auto"/>
                          </w:divBdr>
                          <w:divsChild>
                            <w:div w:id="9598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479500">
          <w:marLeft w:val="5573"/>
          <w:marRight w:val="0"/>
          <w:marTop w:val="0"/>
          <w:marBottom w:val="0"/>
          <w:divBdr>
            <w:top w:val="none" w:sz="0" w:space="0" w:color="auto"/>
            <w:left w:val="none" w:sz="0" w:space="0" w:color="auto"/>
            <w:bottom w:val="none" w:sz="0" w:space="0" w:color="auto"/>
            <w:right w:val="none" w:sz="0" w:space="0" w:color="auto"/>
          </w:divBdr>
          <w:divsChild>
            <w:div w:id="426005437">
              <w:marLeft w:val="0"/>
              <w:marRight w:val="0"/>
              <w:marTop w:val="0"/>
              <w:marBottom w:val="0"/>
              <w:divBdr>
                <w:top w:val="none" w:sz="0" w:space="0" w:color="auto"/>
                <w:left w:val="none" w:sz="0" w:space="0" w:color="auto"/>
                <w:bottom w:val="none" w:sz="0" w:space="0" w:color="auto"/>
                <w:right w:val="none" w:sz="0" w:space="0" w:color="auto"/>
              </w:divBdr>
              <w:divsChild>
                <w:div w:id="841429883">
                  <w:marLeft w:val="0"/>
                  <w:marRight w:val="0"/>
                  <w:marTop w:val="0"/>
                  <w:marBottom w:val="0"/>
                  <w:divBdr>
                    <w:top w:val="none" w:sz="0" w:space="0" w:color="auto"/>
                    <w:left w:val="none" w:sz="0" w:space="31" w:color="auto"/>
                    <w:bottom w:val="single" w:sz="6" w:space="31" w:color="D2D2D2"/>
                    <w:right w:val="none" w:sz="0" w:space="31" w:color="auto"/>
                  </w:divBdr>
                  <w:divsChild>
                    <w:div w:id="1571619090">
                      <w:marLeft w:val="0"/>
                      <w:marRight w:val="0"/>
                      <w:marTop w:val="0"/>
                      <w:marBottom w:val="720"/>
                      <w:divBdr>
                        <w:top w:val="none" w:sz="0" w:space="0" w:color="auto"/>
                        <w:left w:val="none" w:sz="0" w:space="0" w:color="auto"/>
                        <w:bottom w:val="none" w:sz="0" w:space="0" w:color="auto"/>
                        <w:right w:val="none" w:sz="0" w:space="0" w:color="auto"/>
                      </w:divBdr>
                    </w:div>
                    <w:div w:id="1986927313">
                      <w:marLeft w:val="0"/>
                      <w:marRight w:val="150"/>
                      <w:marTop w:val="225"/>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scappp.co.uk/residential-care-2/" TargetMode="External"/><Relationship Id="rId21" Type="http://schemas.openxmlformats.org/officeDocument/2006/relationships/hyperlink" Target="https://www.lascappp.co.uk/residential-care-2/" TargetMode="External"/><Relationship Id="rId42" Type="http://schemas.openxmlformats.org/officeDocument/2006/relationships/hyperlink" Target="https://www.gov.uk/government/publications/care-act-statutory-guidance/care-and-support-statutory-guidance" TargetMode="External"/><Relationship Id="rId47" Type="http://schemas.openxmlformats.org/officeDocument/2006/relationships/hyperlink" Target="https://professionals.lincolnshire.gov.uk/directory/3/a-to-z/P" TargetMode="External"/><Relationship Id="rId63" Type="http://schemas.openxmlformats.org/officeDocument/2006/relationships/hyperlink" Target="https://www.lascappp.co.uk/residential-care-2/" TargetMode="External"/><Relationship Id="rId68" Type="http://schemas.openxmlformats.org/officeDocument/2006/relationships/hyperlink" Target="https://www.lascappp.co.uk/residential-care-2/" TargetMode="External"/><Relationship Id="rId2" Type="http://schemas.openxmlformats.org/officeDocument/2006/relationships/styles" Target="styles.xml"/><Relationship Id="rId16" Type="http://schemas.openxmlformats.org/officeDocument/2006/relationships/hyperlink" Target="https://www.lascappp.co.uk/residential-care-2/" TargetMode="External"/><Relationship Id="rId29" Type="http://schemas.openxmlformats.org/officeDocument/2006/relationships/hyperlink" Target="https://www.lascappp.co.uk/residential-care-2/" TargetMode="External"/><Relationship Id="rId11" Type="http://schemas.openxmlformats.org/officeDocument/2006/relationships/hyperlink" Target="https://www.lascappp.co.uk/residential-care-2/" TargetMode="External"/><Relationship Id="rId24" Type="http://schemas.openxmlformats.org/officeDocument/2006/relationships/hyperlink" Target="https://www.lascappp.co.uk/residential-care-2/" TargetMode="External"/><Relationship Id="rId32" Type="http://schemas.openxmlformats.org/officeDocument/2006/relationships/hyperlink" Target="https://www.lascappp.co.uk/residential-care-2/" TargetMode="External"/><Relationship Id="rId37" Type="http://schemas.openxmlformats.org/officeDocument/2006/relationships/hyperlink" Target="https://www.lascappp.co.uk/residential-care-2/" TargetMode="External"/><Relationship Id="rId40" Type="http://schemas.openxmlformats.org/officeDocument/2006/relationships/hyperlink" Target="https://www.lascappp.co.uk/contents/nhs-continuing-healthcare-chc/" TargetMode="External"/><Relationship Id="rId45" Type="http://schemas.openxmlformats.org/officeDocument/2006/relationships/hyperlink" Target="https://www.lascappp.co.uk/glossary/adult-care/" TargetMode="External"/><Relationship Id="rId53" Type="http://schemas.openxmlformats.org/officeDocument/2006/relationships/hyperlink" Target="https://www.lascappp.co.uk/contact/local-contacts/" TargetMode="External"/><Relationship Id="rId58" Type="http://schemas.openxmlformats.org/officeDocument/2006/relationships/hyperlink" Target="https://www.lascappp.co.uk/wp-content/uploads/2021/09/Supplier-Set-Up-Process.pdf" TargetMode="External"/><Relationship Id="rId66" Type="http://schemas.openxmlformats.org/officeDocument/2006/relationships/hyperlink" Target="https://www.lascappp.co.uk/residential-care-2/" TargetMode="External"/><Relationship Id="rId74" Type="http://schemas.openxmlformats.org/officeDocument/2006/relationships/theme" Target="theme/theme1.xml"/><Relationship Id="rId5" Type="http://schemas.openxmlformats.org/officeDocument/2006/relationships/hyperlink" Target="https://www.lascappp.co.uk/glossary/practitioner/" TargetMode="External"/><Relationship Id="rId61" Type="http://schemas.openxmlformats.org/officeDocument/2006/relationships/hyperlink" Target="https://www.gov.uk/government/news/consultation-on-removing-vaccination-as-a-condition-of-deployment-for-health-and-social-care-staff?utm_campaign=Adult+Social+Care+Update+01.02.22&amp;utm_content=dhsc-mail.co.uk&amp;utm_medium=email&amp;utm_source=Department+of+Health+and+Social+Care&amp;wp-linkindex=5" TargetMode="External"/><Relationship Id="rId19" Type="http://schemas.openxmlformats.org/officeDocument/2006/relationships/hyperlink" Target="https://www.lascappp.co.uk/residential-care-2/" TargetMode="External"/><Relationship Id="rId14" Type="http://schemas.openxmlformats.org/officeDocument/2006/relationships/hyperlink" Target="https://www.lascappp.co.uk/residential-care-2/" TargetMode="External"/><Relationship Id="rId22" Type="http://schemas.openxmlformats.org/officeDocument/2006/relationships/hyperlink" Target="https://www.lascappp.co.uk/residential-care-2/" TargetMode="External"/><Relationship Id="rId27" Type="http://schemas.openxmlformats.org/officeDocument/2006/relationships/hyperlink" Target="https://www.lascappp.co.uk/residential-care-2/" TargetMode="External"/><Relationship Id="rId30" Type="http://schemas.openxmlformats.org/officeDocument/2006/relationships/hyperlink" Target="https://www.lascappp.co.uk/residential-care-2/" TargetMode="External"/><Relationship Id="rId35" Type="http://schemas.openxmlformats.org/officeDocument/2006/relationships/hyperlink" Target="https://www.lascappp.co.uk/residential-care-2/" TargetMode="External"/><Relationship Id="rId43" Type="http://schemas.openxmlformats.org/officeDocument/2006/relationships/hyperlink" Target="https://www.lascappp.co.uk/glossary/direct-payment/" TargetMode="External"/><Relationship Id="rId48" Type="http://schemas.openxmlformats.org/officeDocument/2006/relationships/hyperlink" Target="https://www.lascappp.co.uk/contents/customer-finances/" TargetMode="External"/><Relationship Id="rId56" Type="http://schemas.openxmlformats.org/officeDocument/2006/relationships/hyperlink" Target="https://www.lascappp.co.uk/wp-content/uploads/2019/10/Pro-Forma.pdf" TargetMode="External"/><Relationship Id="rId64" Type="http://schemas.openxmlformats.org/officeDocument/2006/relationships/hyperlink" Target="https://www.gov.uk/government/publications/vaccination-of-people-working-or-deployed-in-care-homes-operational-guidance/coronavirus-covid-19-vaccination-of-people-working-or-deployed-in-care-homes-operational-guidance" TargetMode="External"/><Relationship Id="rId69" Type="http://schemas.openxmlformats.org/officeDocument/2006/relationships/hyperlink" Target="https://www.gov.uk/government/publications/vaccination-of-people-working-or-deployed-in-care-homes-operational-guidance/coronavirus-covid-19-vaccination-of-people-working-or-deployed-in-care-homes-operational-guidance" TargetMode="External"/><Relationship Id="rId8" Type="http://schemas.openxmlformats.org/officeDocument/2006/relationships/hyperlink" Target="https://www.lascappp.co.uk/residential-care-2/" TargetMode="External"/><Relationship Id="rId51" Type="http://schemas.openxmlformats.org/officeDocument/2006/relationships/hyperlink" Target="https://www.gov.uk/government/publications/care-act-statutory-guidance/care-and-support-statutory-guidance" TargetMode="External"/><Relationship Id="rId72" Type="http://schemas.openxmlformats.org/officeDocument/2006/relationships/hyperlink" Target="https://www.gov.uk/government/publications/covid-19-how-to-work-safely-in-care-homes" TargetMode="External"/><Relationship Id="rId3" Type="http://schemas.openxmlformats.org/officeDocument/2006/relationships/settings" Target="settings.xml"/><Relationship Id="rId12" Type="http://schemas.openxmlformats.org/officeDocument/2006/relationships/hyperlink" Target="https://www.lascappp.co.uk/residential-care-2/" TargetMode="External"/><Relationship Id="rId17" Type="http://schemas.openxmlformats.org/officeDocument/2006/relationships/hyperlink" Target="https://www.lascappp.co.uk/residential-care-2/" TargetMode="External"/><Relationship Id="rId25" Type="http://schemas.openxmlformats.org/officeDocument/2006/relationships/hyperlink" Target="https://www.lascappp.co.uk/residential-care-2/" TargetMode="External"/><Relationship Id="rId33" Type="http://schemas.openxmlformats.org/officeDocument/2006/relationships/hyperlink" Target="https://www.lascappp.co.uk/residential-care-2/" TargetMode="External"/><Relationship Id="rId38" Type="http://schemas.openxmlformats.org/officeDocument/2006/relationships/hyperlink" Target="https://www.lascappp.co.uk/glossary/expected-cost/" TargetMode="External"/><Relationship Id="rId46" Type="http://schemas.openxmlformats.org/officeDocument/2006/relationships/hyperlink" Target="https://www.gov.uk/government/publications/care-act-statutory-guidance/care-and-support-statutory-guidance" TargetMode="External"/><Relationship Id="rId59" Type="http://schemas.openxmlformats.org/officeDocument/2006/relationships/hyperlink" Target="http://www.cqc.org.uk/" TargetMode="External"/><Relationship Id="rId67" Type="http://schemas.openxmlformats.org/officeDocument/2006/relationships/hyperlink" Target="https://www.lascappp.co.uk/residential-care-2/" TargetMode="External"/><Relationship Id="rId20" Type="http://schemas.openxmlformats.org/officeDocument/2006/relationships/hyperlink" Target="https://www.lascappp.co.uk/residential-care-2/" TargetMode="External"/><Relationship Id="rId41" Type="http://schemas.openxmlformats.org/officeDocument/2006/relationships/hyperlink" Target="https://www.lascappp.co.uk/wp-content/uploads/2021/04/Interim-bed-or-HCS-Request-Form.docm" TargetMode="External"/><Relationship Id="rId54" Type="http://schemas.openxmlformats.org/officeDocument/2006/relationships/hyperlink" Target="https://www.lascappp.co.uk/glossary/officer/" TargetMode="External"/><Relationship Id="rId62" Type="http://schemas.openxmlformats.org/officeDocument/2006/relationships/hyperlink" Target="https://www.gov.uk/government/publications/vaccination-of-people-working-or-deployed-in-care-homes-operational-guidance/coronavirus-covid-19-vaccination-of-people-working-or-deployed-in-care-homes-operational-guidance" TargetMode="External"/><Relationship Id="rId70" Type="http://schemas.openxmlformats.org/officeDocument/2006/relationships/hyperlink" Target="https://www.gov.uk/government/publications/vaccination-of-people-working-or-deployed-in-care-homes-operational-guidance/coronavirus-covid-19-vaccination-of-people-working-or-deployed-in-care-homes-operational-guidance" TargetMode="External"/><Relationship Id="rId1" Type="http://schemas.openxmlformats.org/officeDocument/2006/relationships/numbering" Target="numbering.xml"/><Relationship Id="rId6" Type="http://schemas.openxmlformats.org/officeDocument/2006/relationships/hyperlink" Target="https://www.lascappp.co.uk/glossary/personal-budget/" TargetMode="External"/><Relationship Id="rId15" Type="http://schemas.openxmlformats.org/officeDocument/2006/relationships/hyperlink" Target="https://www.lascappp.co.uk/residential-care-2/" TargetMode="External"/><Relationship Id="rId23" Type="http://schemas.openxmlformats.org/officeDocument/2006/relationships/hyperlink" Target="https://www.lascappp.co.uk/residential-care-2/" TargetMode="External"/><Relationship Id="rId28" Type="http://schemas.openxmlformats.org/officeDocument/2006/relationships/hyperlink" Target="https://www.lascappp.co.uk/residential-care-2/" TargetMode="External"/><Relationship Id="rId36" Type="http://schemas.openxmlformats.org/officeDocument/2006/relationships/hyperlink" Target="https://www.lascappp.co.uk/residential-care-2/" TargetMode="External"/><Relationship Id="rId49" Type="http://schemas.openxmlformats.org/officeDocument/2006/relationships/hyperlink" Target="https://www.lascappp.co.uk/glossary/safeguarding/" TargetMode="External"/><Relationship Id="rId57" Type="http://schemas.openxmlformats.org/officeDocument/2006/relationships/hyperlink" Target="https://www.lascappp.co.uk/contact/local-contacts/" TargetMode="External"/><Relationship Id="rId10" Type="http://schemas.openxmlformats.org/officeDocument/2006/relationships/hyperlink" Target="https://www.lascappp.co.uk/residential-care-2/" TargetMode="External"/><Relationship Id="rId31" Type="http://schemas.openxmlformats.org/officeDocument/2006/relationships/hyperlink" Target="https://www.lascappp.co.uk/residential-care-2/" TargetMode="External"/><Relationship Id="rId44" Type="http://schemas.openxmlformats.org/officeDocument/2006/relationships/hyperlink" Target="https://www.lascappp.co.uk/glossary/policy/" TargetMode="External"/><Relationship Id="rId52" Type="http://schemas.openxmlformats.org/officeDocument/2006/relationships/hyperlink" Target="https://www.gov.uk/government/publications/care-act-statutory-guidance/care-and-support-statutory-guidance" TargetMode="External"/><Relationship Id="rId60" Type="http://schemas.openxmlformats.org/officeDocument/2006/relationships/hyperlink" Target="https://www.gov.uk/government/publications/care-act-statutory-guidance/care-and-support-statutory-guidance" TargetMode="External"/><Relationship Id="rId65" Type="http://schemas.openxmlformats.org/officeDocument/2006/relationships/hyperlink" Target="https://www.gov.uk/government/publications/vaccination-of-people-working-or-deployed-in-care-homes-operational-guidance/coronavirus-covid-19-vaccination-of-people-working-or-deployed-in-care-homes-operational-guidance"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scappp.co.uk/residential-care-2/" TargetMode="External"/><Relationship Id="rId13" Type="http://schemas.openxmlformats.org/officeDocument/2006/relationships/hyperlink" Target="https://www.lascappp.co.uk/residential-care-2/" TargetMode="External"/><Relationship Id="rId18" Type="http://schemas.openxmlformats.org/officeDocument/2006/relationships/hyperlink" Target="https://www.lascappp.co.uk/residential-care-2/" TargetMode="External"/><Relationship Id="rId39" Type="http://schemas.openxmlformats.org/officeDocument/2006/relationships/hyperlink" Target="https://www.lascappp.co.uk/glossary/carer/" TargetMode="External"/><Relationship Id="rId34" Type="http://schemas.openxmlformats.org/officeDocument/2006/relationships/hyperlink" Target="https://www.lascappp.co.uk/residential-care-2/" TargetMode="External"/><Relationship Id="rId50" Type="http://schemas.openxmlformats.org/officeDocument/2006/relationships/hyperlink" Target="https://www.gov.uk/government/publications/care-act-statutory-guidance/care-and-support-statutory-guidance" TargetMode="External"/><Relationship Id="rId55" Type="http://schemas.openxmlformats.org/officeDocument/2006/relationships/hyperlink" Target="https://www.lascappp.co.uk/glossary/deferred-payment/" TargetMode="External"/><Relationship Id="rId7" Type="http://schemas.openxmlformats.org/officeDocument/2006/relationships/hyperlink" Target="https://www.lascappp.co.uk/wp-content/uploads/2020/01/Commissioning-Out-of-Area-Care-and-Support-Services.pdf" TargetMode="External"/><Relationship Id="rId71" Type="http://schemas.openxmlformats.org/officeDocument/2006/relationships/hyperlink" Target="https://www.lascappp.co.uk/residential-car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5869</Words>
  <Characters>33457</Characters>
  <Application>Microsoft Office Word</Application>
  <DocSecurity>0</DocSecurity>
  <Lines>278</Lines>
  <Paragraphs>78</Paragraphs>
  <ScaleCrop>false</ScaleCrop>
  <Company/>
  <LinksUpToDate>false</LinksUpToDate>
  <CharactersWithSpaces>39248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Heal</dc:creator>
  <cp:keywords/>
  <dc:description/>
  <cp:lastModifiedBy>Andrea Lee</cp:lastModifiedBy>
  <cp:revision>2</cp:revision>
  <dcterms:created xsi:type="dcterms:W3CDTF">2024-01-18T11:35:00Z</dcterms:created>
  <dcterms:modified xsi:type="dcterms:W3CDTF">2024-01-18T11:35:00Z</dcterms:modified>
</cp:coreProperties>
</file>