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34"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470"/>
        <w:gridCol w:w="4593"/>
      </w:tblGrid>
      <w:tr w:rsidR="00F53188" w14:paraId="21956AB9" w14:textId="77777777" w:rsidTr="00350021">
        <w:trPr>
          <w:trHeight w:val="851"/>
        </w:trPr>
        <w:tc>
          <w:tcPr>
            <w:tcW w:w="2466" w:type="pct"/>
            <w:vAlign w:val="center"/>
          </w:tcPr>
          <w:p w14:paraId="6436D309" w14:textId="77777777" w:rsidR="00F53188" w:rsidRPr="00554BCE" w:rsidRDefault="00F53188" w:rsidP="00350021">
            <w:pPr>
              <w:spacing w:before="40" w:after="40"/>
              <w:contextualSpacing/>
              <w:jc w:val="both"/>
              <w:rPr>
                <w:b/>
                <w:sz w:val="36"/>
                <w:szCs w:val="36"/>
              </w:rPr>
            </w:pPr>
          </w:p>
        </w:tc>
        <w:tc>
          <w:tcPr>
            <w:tcW w:w="2534" w:type="pct"/>
            <w:vAlign w:val="center"/>
          </w:tcPr>
          <w:p w14:paraId="264AE08E" w14:textId="77777777" w:rsidR="00F53188" w:rsidRPr="00554BCE" w:rsidRDefault="00F53188" w:rsidP="00350021">
            <w:pPr>
              <w:spacing w:before="40" w:after="40"/>
              <w:contextualSpacing/>
              <w:jc w:val="both"/>
              <w:rPr>
                <w:b/>
                <w:sz w:val="36"/>
                <w:szCs w:val="36"/>
              </w:rPr>
            </w:pPr>
            <w:r>
              <w:rPr>
                <w:noProof/>
              </w:rPr>
              <w:drawing>
                <wp:inline distT="0" distB="0" distL="0" distR="0" wp14:anchorId="7C2C0B74" wp14:editId="40C04F96">
                  <wp:extent cx="2759287" cy="496570"/>
                  <wp:effectExtent l="0" t="0" r="3175" b="0"/>
                  <wp:docPr id="1" name="Picture 1"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blac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5952" cy="497769"/>
                          </a:xfrm>
                          <a:prstGeom prst="rect">
                            <a:avLst/>
                          </a:prstGeom>
                          <a:noFill/>
                          <a:ln>
                            <a:noFill/>
                          </a:ln>
                        </pic:spPr>
                      </pic:pic>
                    </a:graphicData>
                  </a:graphic>
                </wp:inline>
              </w:drawing>
            </w:r>
          </w:p>
        </w:tc>
      </w:tr>
    </w:tbl>
    <w:p w14:paraId="4A852E7B" w14:textId="77777777" w:rsidR="00F53188" w:rsidRDefault="00F53188"/>
    <w:p w14:paraId="6427D4FA" w14:textId="77777777" w:rsidR="00045C29" w:rsidRDefault="00045C29">
      <w:pPr>
        <w:rPr>
          <w:b/>
          <w:bCs/>
          <w:sz w:val="28"/>
          <w:szCs w:val="28"/>
          <w:u w:val="single"/>
        </w:rPr>
      </w:pPr>
    </w:p>
    <w:p w14:paraId="02A00FEE" w14:textId="77777777" w:rsidR="0041280B" w:rsidRDefault="00F53188" w:rsidP="00A012C8">
      <w:pPr>
        <w:jc w:val="both"/>
        <w:rPr>
          <w:b/>
          <w:bCs/>
          <w:sz w:val="28"/>
          <w:szCs w:val="28"/>
          <w:u w:val="single"/>
        </w:rPr>
      </w:pPr>
      <w:r w:rsidRPr="00F53188">
        <w:rPr>
          <w:b/>
          <w:bCs/>
          <w:sz w:val="28"/>
          <w:szCs w:val="28"/>
          <w:u w:val="single"/>
        </w:rPr>
        <w:t>S117 Briefing</w:t>
      </w:r>
      <w:r w:rsidR="00045C29">
        <w:rPr>
          <w:b/>
          <w:bCs/>
          <w:sz w:val="28"/>
          <w:szCs w:val="28"/>
          <w:u w:val="single"/>
        </w:rPr>
        <w:t xml:space="preserve"> </w:t>
      </w:r>
    </w:p>
    <w:p w14:paraId="6D2A51C7" w14:textId="77777777" w:rsidR="0041280B" w:rsidRDefault="0041280B" w:rsidP="00A012C8">
      <w:pPr>
        <w:jc w:val="both"/>
        <w:rPr>
          <w:sz w:val="28"/>
          <w:szCs w:val="28"/>
          <w:u w:val="single"/>
        </w:rPr>
      </w:pPr>
    </w:p>
    <w:p w14:paraId="3BD29E1F" w14:textId="77777777" w:rsidR="00C0044E" w:rsidRPr="00A012C8" w:rsidRDefault="0041280B" w:rsidP="00A012C8">
      <w:pPr>
        <w:jc w:val="both"/>
        <w:rPr>
          <w:b/>
          <w:bCs/>
          <w:i/>
          <w:iCs/>
          <w:u w:val="single"/>
        </w:rPr>
      </w:pPr>
      <w:r w:rsidRPr="00A012C8">
        <w:rPr>
          <w:b/>
          <w:bCs/>
          <w:u w:val="single"/>
        </w:rPr>
        <w:t>F</w:t>
      </w:r>
      <w:r w:rsidR="00045C29" w:rsidRPr="00A012C8">
        <w:rPr>
          <w:b/>
          <w:bCs/>
          <w:i/>
          <w:iCs/>
          <w:u w:val="single"/>
        </w:rPr>
        <w:t>ollowing the Supreme Court Ruling of</w:t>
      </w:r>
      <w:r w:rsidR="00854692" w:rsidRPr="00A012C8">
        <w:rPr>
          <w:b/>
          <w:bCs/>
          <w:i/>
          <w:iCs/>
          <w:u w:val="single"/>
        </w:rPr>
        <w:t xml:space="preserve"> </w:t>
      </w:r>
      <w:r w:rsidR="00045C29" w:rsidRPr="00A012C8">
        <w:rPr>
          <w:b/>
          <w:bCs/>
          <w:i/>
          <w:iCs/>
          <w:u w:val="single"/>
        </w:rPr>
        <w:t>R</w:t>
      </w:r>
      <w:r w:rsidR="00854692" w:rsidRPr="00A012C8">
        <w:rPr>
          <w:b/>
          <w:bCs/>
          <w:i/>
          <w:iCs/>
          <w:u w:val="single"/>
        </w:rPr>
        <w:t xml:space="preserve"> (on</w:t>
      </w:r>
      <w:r w:rsidRPr="00A012C8">
        <w:rPr>
          <w:b/>
          <w:bCs/>
          <w:i/>
          <w:iCs/>
          <w:u w:val="single"/>
        </w:rPr>
        <w:t xml:space="preserve"> </w:t>
      </w:r>
      <w:r w:rsidR="00045C29" w:rsidRPr="00A012C8">
        <w:rPr>
          <w:b/>
          <w:bCs/>
          <w:i/>
          <w:iCs/>
          <w:u w:val="single"/>
        </w:rPr>
        <w:t>the application of Worcestershire County Council) v</w:t>
      </w:r>
      <w:r w:rsidR="00854692" w:rsidRPr="00A012C8">
        <w:rPr>
          <w:b/>
          <w:bCs/>
          <w:i/>
          <w:iCs/>
          <w:u w:val="single"/>
        </w:rPr>
        <w:t xml:space="preserve"> </w:t>
      </w:r>
      <w:r w:rsidR="00045C29" w:rsidRPr="00A012C8">
        <w:rPr>
          <w:b/>
          <w:bCs/>
          <w:i/>
          <w:iCs/>
          <w:u w:val="single"/>
        </w:rPr>
        <w:t>Secretary</w:t>
      </w:r>
      <w:r w:rsidRPr="00A012C8">
        <w:rPr>
          <w:b/>
          <w:bCs/>
          <w:i/>
          <w:iCs/>
          <w:u w:val="single"/>
        </w:rPr>
        <w:t xml:space="preserve"> </w:t>
      </w:r>
      <w:r w:rsidR="00045C29" w:rsidRPr="00A012C8">
        <w:rPr>
          <w:b/>
          <w:bCs/>
          <w:i/>
          <w:iCs/>
          <w:u w:val="single"/>
        </w:rPr>
        <w:t>of State for Health and Social Care (2023) UKSC 31</w:t>
      </w:r>
      <w:r w:rsidR="00854692" w:rsidRPr="00A012C8">
        <w:rPr>
          <w:b/>
          <w:bCs/>
          <w:i/>
          <w:iCs/>
          <w:u w:val="single"/>
        </w:rPr>
        <w:t xml:space="preserve"> </w:t>
      </w:r>
    </w:p>
    <w:p w14:paraId="74687B4A" w14:textId="5B0A790C" w:rsidR="003666A7" w:rsidRPr="00854692" w:rsidRDefault="00045C29" w:rsidP="00A012C8">
      <w:pPr>
        <w:jc w:val="both"/>
        <w:rPr>
          <w:b/>
          <w:bCs/>
          <w:i/>
          <w:iCs/>
          <w:sz w:val="28"/>
          <w:szCs w:val="28"/>
          <w:u w:val="single"/>
        </w:rPr>
      </w:pPr>
      <w:r w:rsidRPr="00854692">
        <w:rPr>
          <w:b/>
          <w:bCs/>
          <w:i/>
          <w:iCs/>
          <w:sz w:val="28"/>
          <w:szCs w:val="28"/>
          <w:u w:val="single"/>
        </w:rPr>
        <w:t xml:space="preserve"> </w:t>
      </w:r>
    </w:p>
    <w:p w14:paraId="15725605" w14:textId="77777777" w:rsidR="00C804DA" w:rsidRDefault="00C804DA" w:rsidP="00A012C8">
      <w:pPr>
        <w:jc w:val="both"/>
        <w:rPr>
          <w:b/>
          <w:bCs/>
          <w:u w:val="single"/>
        </w:rPr>
      </w:pPr>
    </w:p>
    <w:p w14:paraId="7CA0D53D" w14:textId="307862C8" w:rsidR="00AE3000" w:rsidRPr="00C804DA" w:rsidRDefault="00C804DA" w:rsidP="00A012C8">
      <w:pPr>
        <w:jc w:val="both"/>
        <w:rPr>
          <w:b/>
          <w:bCs/>
          <w:u w:val="single"/>
        </w:rPr>
      </w:pPr>
      <w:r>
        <w:rPr>
          <w:b/>
          <w:bCs/>
          <w:u w:val="single"/>
        </w:rPr>
        <w:t xml:space="preserve">Background and </w:t>
      </w:r>
      <w:r w:rsidR="00AE3000" w:rsidRPr="00C804DA">
        <w:rPr>
          <w:b/>
          <w:bCs/>
          <w:u w:val="single"/>
        </w:rPr>
        <w:t>Implications</w:t>
      </w:r>
    </w:p>
    <w:p w14:paraId="235A5A3F" w14:textId="074D2CCA" w:rsidR="00AE3000" w:rsidRDefault="00AE3000" w:rsidP="00A012C8">
      <w:pPr>
        <w:jc w:val="both"/>
      </w:pPr>
    </w:p>
    <w:p w14:paraId="14731392" w14:textId="7A6096B6" w:rsidR="00A03F4C" w:rsidRDefault="00426474" w:rsidP="00A012C8">
      <w:pPr>
        <w:jc w:val="both"/>
      </w:pPr>
      <w:r>
        <w:t xml:space="preserve">S117 Mental Health Act (MHA) places a duty on health authorities and </w:t>
      </w:r>
      <w:r w:rsidR="00916618">
        <w:t xml:space="preserve">local </w:t>
      </w:r>
      <w:r>
        <w:t xml:space="preserve">social services authorities </w:t>
      </w:r>
      <w:r w:rsidR="00916618">
        <w:t xml:space="preserve">(LSSAs) </w:t>
      </w:r>
      <w:r>
        <w:t>to provide aftercare services for those who have left hospital following compulsory detention for treatment for mental disorder under the MHA.</w:t>
      </w:r>
      <w:r w:rsidR="00A03F4C">
        <w:t xml:space="preserve"> The </w:t>
      </w:r>
      <w:r w:rsidR="00916618">
        <w:t>qualifying</w:t>
      </w:r>
      <w:r w:rsidR="00A03F4C">
        <w:t xml:space="preserve"> sections of the MHA are 3 (detention in hospital), 37 and 45A (</w:t>
      </w:r>
      <w:r w:rsidR="005846A3">
        <w:t>c</w:t>
      </w:r>
      <w:r w:rsidR="00A03F4C">
        <w:t>ourt order</w:t>
      </w:r>
      <w:r w:rsidR="00085D39">
        <w:t>s for</w:t>
      </w:r>
      <w:r w:rsidR="00A03F4C">
        <w:t xml:space="preserve"> admission to hospital), or 47 and 48 (transfer</w:t>
      </w:r>
      <w:r w:rsidR="00085D39">
        <w:t>s</w:t>
      </w:r>
      <w:r w:rsidR="00A03F4C">
        <w:t xml:space="preserve"> from prison to hospital).  </w:t>
      </w:r>
    </w:p>
    <w:p w14:paraId="39518317" w14:textId="071EE3F3" w:rsidR="005846A3" w:rsidRDefault="005846A3" w:rsidP="00A012C8">
      <w:pPr>
        <w:jc w:val="both"/>
      </w:pPr>
    </w:p>
    <w:p w14:paraId="471B858B" w14:textId="56EA8C49" w:rsidR="005846A3" w:rsidRDefault="005846A3" w:rsidP="00A012C8">
      <w:pPr>
        <w:jc w:val="both"/>
      </w:pPr>
      <w:r>
        <w:t xml:space="preserve">The Dept of Health and Social Care (DHSC) confirmed in a 2020 Policy that responsibility for aftercare remained with the LSSA where the person lived immediately prior to the </w:t>
      </w:r>
      <w:r w:rsidRPr="00916618">
        <w:rPr>
          <w:u w:val="single"/>
        </w:rPr>
        <w:t>first</w:t>
      </w:r>
      <w:r>
        <w:t xml:space="preserve"> detention.  Since then there has been a lengthy process of judicial challenge</w:t>
      </w:r>
      <w:r w:rsidR="00085D39">
        <w:t>;</w:t>
      </w:r>
      <w:r>
        <w:t xml:space="preserve"> </w:t>
      </w:r>
      <w:r w:rsidR="00853F9E">
        <w:t>firstly</w:t>
      </w:r>
      <w:r>
        <w:t xml:space="preserve"> reversing the Secretary of State’s decision</w:t>
      </w:r>
      <w:r w:rsidR="00085D39">
        <w:t xml:space="preserve"> leading to</w:t>
      </w:r>
      <w:r w:rsidR="00853F9E">
        <w:t xml:space="preserve"> a challenge by </w:t>
      </w:r>
      <w:r>
        <w:t>the High court</w:t>
      </w:r>
      <w:r w:rsidR="00853F9E">
        <w:t>,</w:t>
      </w:r>
      <w:r>
        <w:t xml:space="preserve"> this then being overturned by the Court of Appeal before being appealed at the Supreme Court.  </w:t>
      </w:r>
    </w:p>
    <w:p w14:paraId="5F19C87C" w14:textId="77777777" w:rsidR="00E51DBC" w:rsidRDefault="00E51DBC" w:rsidP="00E51DBC">
      <w:pPr>
        <w:jc w:val="both"/>
      </w:pPr>
    </w:p>
    <w:p w14:paraId="6392DC31" w14:textId="50555D9A" w:rsidR="00853F9E" w:rsidRPr="00E51DBC" w:rsidRDefault="00F53188" w:rsidP="00E51DBC">
      <w:pPr>
        <w:jc w:val="both"/>
        <w:rPr>
          <w:rFonts w:cs="Arial"/>
        </w:rPr>
      </w:pPr>
      <w:r w:rsidRPr="00E51DBC">
        <w:rPr>
          <w:rFonts w:cs="Arial"/>
        </w:rPr>
        <w:t xml:space="preserve">The Supreme Court </w:t>
      </w:r>
      <w:r w:rsidR="00426474" w:rsidRPr="00E51DBC">
        <w:rPr>
          <w:rFonts w:cs="Arial"/>
        </w:rPr>
        <w:t>published its decision on 10</w:t>
      </w:r>
      <w:r w:rsidR="00426474" w:rsidRPr="00E51DBC">
        <w:rPr>
          <w:rFonts w:cs="Arial"/>
          <w:vertAlign w:val="superscript"/>
        </w:rPr>
        <w:t>th</w:t>
      </w:r>
      <w:r w:rsidR="00426474" w:rsidRPr="00E51DBC">
        <w:rPr>
          <w:rFonts w:cs="Arial"/>
        </w:rPr>
        <w:t xml:space="preserve"> August 2023</w:t>
      </w:r>
      <w:r w:rsidR="00E51DBC" w:rsidRPr="00E51DBC">
        <w:rPr>
          <w:rFonts w:cs="Arial"/>
        </w:rPr>
        <w:t xml:space="preserve"> </w:t>
      </w:r>
      <w:hyperlink r:id="rId13" w:history="1">
        <w:r w:rsidR="00E51DBC" w:rsidRPr="00E51DBC">
          <w:rPr>
            <w:rStyle w:val="Hyperlink"/>
            <w:rFonts w:cs="Arial"/>
          </w:rPr>
          <w:t>R (on the application of Worcestershire County Council) (Appellant) v Secretary of State for Health and Social Care (Respondent) - The Supreme Court</w:t>
        </w:r>
      </w:hyperlink>
      <w:r w:rsidR="00E51DBC" w:rsidRPr="00E51DBC">
        <w:rPr>
          <w:rFonts w:cs="Arial"/>
        </w:rPr>
        <w:t xml:space="preserve"> </w:t>
      </w:r>
      <w:r w:rsidR="00085D39" w:rsidRPr="00E51DBC">
        <w:rPr>
          <w:rFonts w:cs="Arial"/>
        </w:rPr>
        <w:t>upholding</w:t>
      </w:r>
      <w:r w:rsidR="00391A87" w:rsidRPr="00E51DBC">
        <w:rPr>
          <w:rFonts w:cs="Arial"/>
        </w:rPr>
        <w:t xml:space="preserve"> Worcester</w:t>
      </w:r>
      <w:r w:rsidR="00D93C13" w:rsidRPr="00E51DBC">
        <w:rPr>
          <w:rFonts w:cs="Arial"/>
        </w:rPr>
        <w:t>shire</w:t>
      </w:r>
      <w:r w:rsidR="00391A87" w:rsidRPr="00E51DBC">
        <w:rPr>
          <w:rFonts w:cs="Arial"/>
        </w:rPr>
        <w:t xml:space="preserve">’s </w:t>
      </w:r>
      <w:r w:rsidR="001E5ABE" w:rsidRPr="00E51DBC">
        <w:rPr>
          <w:rFonts w:cs="Arial"/>
        </w:rPr>
        <w:t xml:space="preserve">argument that liability to S117 aftercare </w:t>
      </w:r>
      <w:r w:rsidR="00E76B5A" w:rsidRPr="00E51DBC">
        <w:rPr>
          <w:rFonts w:cs="Arial"/>
        </w:rPr>
        <w:t xml:space="preserve">should transfer to the </w:t>
      </w:r>
      <w:r w:rsidR="00E76B5A" w:rsidRPr="00E51DBC">
        <w:rPr>
          <w:rFonts w:cs="Arial"/>
          <w:u w:val="single"/>
        </w:rPr>
        <w:t>subsequent</w:t>
      </w:r>
      <w:r w:rsidR="00E76B5A" w:rsidRPr="00E51DBC">
        <w:rPr>
          <w:rFonts w:cs="Arial"/>
        </w:rPr>
        <w:t xml:space="preserve"> </w:t>
      </w:r>
      <w:r w:rsidR="00916618" w:rsidRPr="00E51DBC">
        <w:rPr>
          <w:rFonts w:cs="Arial"/>
        </w:rPr>
        <w:t>LSSA.</w:t>
      </w:r>
      <w:r w:rsidR="00E76B5A" w:rsidRPr="00E51DBC">
        <w:rPr>
          <w:rFonts w:cs="Arial"/>
        </w:rPr>
        <w:t xml:space="preserve">  It follows on therefore that S117 ends when a person is re-detained</w:t>
      </w:r>
      <w:r w:rsidR="00E51DBC">
        <w:rPr>
          <w:rFonts w:cs="Arial"/>
        </w:rPr>
        <w:t xml:space="preserve"> under a qualifying section of the MHA.</w:t>
      </w:r>
      <w:r w:rsidR="00E76B5A" w:rsidRPr="00E51DBC">
        <w:rPr>
          <w:rFonts w:cs="Arial"/>
        </w:rPr>
        <w:t xml:space="preserve">  The existing statutory </w:t>
      </w:r>
      <w:r w:rsidR="005846A3" w:rsidRPr="00E51DBC">
        <w:rPr>
          <w:rFonts w:cs="Arial"/>
        </w:rPr>
        <w:t xml:space="preserve">Care and Support </w:t>
      </w:r>
      <w:r w:rsidR="00E76B5A" w:rsidRPr="00E51DBC">
        <w:rPr>
          <w:rFonts w:cs="Arial"/>
        </w:rPr>
        <w:t>guidance remains in force</w:t>
      </w:r>
      <w:r w:rsidR="00341075" w:rsidRPr="00E51DBC">
        <w:rPr>
          <w:rFonts w:cs="Arial"/>
        </w:rPr>
        <w:t xml:space="preserve"> </w:t>
      </w:r>
      <w:r w:rsidR="005846A3" w:rsidRPr="00E51DBC">
        <w:rPr>
          <w:rFonts w:cs="Arial"/>
        </w:rPr>
        <w:t xml:space="preserve">as it is currently written </w:t>
      </w:r>
      <w:r w:rsidR="00341075" w:rsidRPr="00E51DBC">
        <w:rPr>
          <w:rFonts w:cs="Arial"/>
        </w:rPr>
        <w:t xml:space="preserve">as </w:t>
      </w:r>
      <w:r w:rsidR="005846A3" w:rsidRPr="00E51DBC">
        <w:rPr>
          <w:rFonts w:cs="Arial"/>
        </w:rPr>
        <w:t>the Supreme Court has not changed this in relation to</w:t>
      </w:r>
      <w:r w:rsidR="00341075" w:rsidRPr="00E51DBC">
        <w:rPr>
          <w:rFonts w:cs="Arial"/>
        </w:rPr>
        <w:t xml:space="preserve"> S117 (paras 19.62-19.64)</w:t>
      </w:r>
      <w:r w:rsidR="005846A3" w:rsidRPr="00E51DBC">
        <w:rPr>
          <w:rFonts w:cs="Arial"/>
        </w:rPr>
        <w:t>.</w:t>
      </w:r>
      <w:r w:rsidR="00341075" w:rsidRPr="00E51DBC">
        <w:rPr>
          <w:rFonts w:cs="Arial"/>
        </w:rPr>
        <w:t xml:space="preserve">  </w:t>
      </w:r>
      <w:r w:rsidR="00EE5B3E" w:rsidRPr="00E51DBC">
        <w:rPr>
          <w:rFonts w:cs="Arial"/>
        </w:rPr>
        <w:t xml:space="preserve"> </w:t>
      </w:r>
      <w:r w:rsidR="00853F9E" w:rsidRPr="00E51DBC">
        <w:rPr>
          <w:rFonts w:cs="Arial"/>
        </w:rPr>
        <w:t xml:space="preserve">There is no further challenge possible within the current judicial system or </w:t>
      </w:r>
      <w:r w:rsidR="00085D39" w:rsidRPr="00E51DBC">
        <w:rPr>
          <w:rFonts w:cs="Arial"/>
        </w:rPr>
        <w:t xml:space="preserve">current </w:t>
      </w:r>
      <w:r w:rsidR="00853F9E" w:rsidRPr="00E51DBC">
        <w:rPr>
          <w:rFonts w:cs="Arial"/>
        </w:rPr>
        <w:t>legislative framework.</w:t>
      </w:r>
    </w:p>
    <w:p w14:paraId="4082E285" w14:textId="77777777" w:rsidR="00426474" w:rsidRDefault="00426474" w:rsidP="00A012C8">
      <w:pPr>
        <w:jc w:val="both"/>
      </w:pPr>
    </w:p>
    <w:p w14:paraId="0480FB6B" w14:textId="4015E2C9" w:rsidR="00341075" w:rsidRDefault="003D6088" w:rsidP="00A012C8">
      <w:pPr>
        <w:jc w:val="both"/>
      </w:pPr>
      <w:r>
        <w:t>Since Worcester</w:t>
      </w:r>
      <w:r w:rsidR="000B5BA0">
        <w:t>shire</w:t>
      </w:r>
      <w:r>
        <w:t xml:space="preserve"> challenged the DHSC</w:t>
      </w:r>
      <w:r w:rsidR="00916618">
        <w:t>’s 2020</w:t>
      </w:r>
      <w:r>
        <w:t xml:space="preserve"> policy</w:t>
      </w:r>
      <w:r w:rsidR="00085D39">
        <w:t xml:space="preserve"> decision</w:t>
      </w:r>
      <w:r w:rsidR="00853F9E">
        <w:t>,</w:t>
      </w:r>
      <w:r>
        <w:t xml:space="preserve"> </w:t>
      </w:r>
      <w:r w:rsidR="000919E7">
        <w:t>DHSC has deferred making determinations on disputes where they are similar to the original case that found in favour of Swindon</w:t>
      </w:r>
      <w:r w:rsidR="00E51DBC">
        <w:t>.  Those disputes referred to the DHSC will now be considered by way of reference to the Supreme Court Judgement.</w:t>
      </w:r>
    </w:p>
    <w:p w14:paraId="224AC98D" w14:textId="2A22E9CF" w:rsidR="001501C9" w:rsidRDefault="001501C9" w:rsidP="00A012C8">
      <w:pPr>
        <w:jc w:val="both"/>
      </w:pPr>
    </w:p>
    <w:p w14:paraId="18707DE6" w14:textId="5F95C91F" w:rsidR="001501C9" w:rsidRDefault="001501C9" w:rsidP="00A012C8">
      <w:pPr>
        <w:jc w:val="both"/>
      </w:pPr>
      <w:r>
        <w:t xml:space="preserve">The situation now is that there are people where the incorrect LSSA has accepted interim </w:t>
      </w:r>
      <w:r w:rsidR="00853F9E">
        <w:t xml:space="preserve">S117 </w:t>
      </w:r>
      <w:r>
        <w:t xml:space="preserve">responsibility </w:t>
      </w:r>
      <w:r w:rsidR="009C19A8">
        <w:t xml:space="preserve">for </w:t>
      </w:r>
      <w:r>
        <w:t xml:space="preserve">when it is clear it should be another LSSA’s responsibility.  The Care Act 2014 provides the basis on which a LSSA can recover </w:t>
      </w:r>
      <w:r w:rsidR="000B5BA0">
        <w:t>costs from</w:t>
      </w:r>
      <w:r>
        <w:t xml:space="preserve"> another LS</w:t>
      </w:r>
      <w:r w:rsidR="000B5BA0">
        <w:t>SA</w:t>
      </w:r>
      <w:r>
        <w:t xml:space="preserve"> </w:t>
      </w:r>
      <w:r w:rsidR="00853F9E">
        <w:t xml:space="preserve">when it becomes </w:t>
      </w:r>
      <w:r>
        <w:t>clear that funding responsibility lies with another LSSA.</w:t>
      </w:r>
    </w:p>
    <w:p w14:paraId="11D0A250" w14:textId="17BDB343" w:rsidR="006B1F49" w:rsidRDefault="006B1F49" w:rsidP="00A012C8">
      <w:pPr>
        <w:jc w:val="both"/>
      </w:pPr>
    </w:p>
    <w:p w14:paraId="069B0C3D" w14:textId="106569BC" w:rsidR="00D46EBA" w:rsidRDefault="00D45EF4" w:rsidP="00D46EBA">
      <w:pPr>
        <w:jc w:val="both"/>
      </w:pPr>
      <w:r>
        <w:t>This ruling only impacts on local authorities, I</w:t>
      </w:r>
      <w:r w:rsidR="00BE1C05">
        <w:t xml:space="preserve">ntegrated </w:t>
      </w:r>
      <w:r>
        <w:t>C</w:t>
      </w:r>
      <w:r w:rsidR="00BE1C05">
        <w:t>are Boards (ICBs)</w:t>
      </w:r>
      <w:r>
        <w:t xml:space="preserve"> </w:t>
      </w:r>
      <w:r w:rsidR="00391A87">
        <w:t>have their own rules</w:t>
      </w:r>
      <w:r w:rsidR="0044551A">
        <w:t xml:space="preserve"> with the Who Pays </w:t>
      </w:r>
      <w:r w:rsidR="0044551A" w:rsidRPr="00CC1C69">
        <w:t>guidance</w:t>
      </w:r>
      <w:r w:rsidR="00D46EBA">
        <w:t xml:space="preserve"> </w:t>
      </w:r>
      <w:hyperlink r:id="rId14" w:history="1">
        <w:r w:rsidR="00D46EBA">
          <w:rPr>
            <w:rStyle w:val="Hyperlink"/>
          </w:rPr>
          <w:t>NHS England » Who Pays?</w:t>
        </w:r>
      </w:hyperlink>
      <w:r w:rsidR="00D46EBA">
        <w:t xml:space="preserve"> </w:t>
      </w:r>
      <w:r w:rsidR="00D46EBA" w:rsidRPr="00CC1C69">
        <w:t>which</w:t>
      </w:r>
      <w:r w:rsidR="00D46EBA">
        <w:t xml:space="preserve"> will no doubt require updating.  </w:t>
      </w:r>
    </w:p>
    <w:p w14:paraId="2ECAF254" w14:textId="77777777" w:rsidR="005633DC" w:rsidRDefault="005633DC" w:rsidP="00A012C8">
      <w:pPr>
        <w:jc w:val="both"/>
      </w:pPr>
    </w:p>
    <w:p w14:paraId="78F6D75E" w14:textId="62B7587F" w:rsidR="00D45EF4" w:rsidRDefault="00BE1C05" w:rsidP="00A012C8">
      <w:pPr>
        <w:jc w:val="both"/>
      </w:pPr>
      <w:r>
        <w:lastRenderedPageBreak/>
        <w:t>It is the responsibility of the ICB to determine the responsible ICB</w:t>
      </w:r>
      <w:r w:rsidR="00C75AB3">
        <w:t>,</w:t>
      </w:r>
      <w:r>
        <w:t xml:space="preserve"> not the LSSA.</w:t>
      </w:r>
    </w:p>
    <w:p w14:paraId="55BC417C" w14:textId="322920DE" w:rsidR="00BE1C05" w:rsidRDefault="00BE1C05" w:rsidP="00A012C8">
      <w:pPr>
        <w:jc w:val="both"/>
      </w:pPr>
    </w:p>
    <w:p w14:paraId="6EDEB0EC" w14:textId="7131FF70" w:rsidR="00BE1C05" w:rsidRDefault="00BE1C05" w:rsidP="00A012C8">
      <w:pPr>
        <w:jc w:val="both"/>
      </w:pPr>
      <w:r w:rsidRPr="00A46691">
        <w:rPr>
          <w:u w:val="single"/>
        </w:rPr>
        <w:t xml:space="preserve">It is Nottinghamshire County Council’s </w:t>
      </w:r>
      <w:r w:rsidR="00916618">
        <w:rPr>
          <w:u w:val="single"/>
        </w:rPr>
        <w:t xml:space="preserve">(NCC) </w:t>
      </w:r>
      <w:r w:rsidRPr="00A46691">
        <w:rPr>
          <w:u w:val="single"/>
        </w:rPr>
        <w:t xml:space="preserve">responsibility to inform </w:t>
      </w:r>
      <w:r w:rsidR="00A46691">
        <w:rPr>
          <w:u w:val="single"/>
        </w:rPr>
        <w:t>the relevant</w:t>
      </w:r>
      <w:r w:rsidRPr="00A46691">
        <w:rPr>
          <w:u w:val="single"/>
        </w:rPr>
        <w:t xml:space="preserve"> LSSA if it is identified </w:t>
      </w:r>
      <w:r w:rsidR="00C75AB3" w:rsidRPr="00A46691">
        <w:rPr>
          <w:u w:val="single"/>
        </w:rPr>
        <w:t xml:space="preserve">that </w:t>
      </w:r>
      <w:r w:rsidRPr="00A46691">
        <w:rPr>
          <w:u w:val="single"/>
        </w:rPr>
        <w:t xml:space="preserve">NCC should now </w:t>
      </w:r>
      <w:r w:rsidR="00A46691">
        <w:rPr>
          <w:u w:val="single"/>
        </w:rPr>
        <w:t xml:space="preserve">assume S117 responsibility </w:t>
      </w:r>
      <w:r w:rsidR="00916618">
        <w:rPr>
          <w:u w:val="single"/>
        </w:rPr>
        <w:t xml:space="preserve">for someone </w:t>
      </w:r>
      <w:r w:rsidR="00A46691">
        <w:rPr>
          <w:u w:val="single"/>
        </w:rPr>
        <w:t xml:space="preserve">and arrangements </w:t>
      </w:r>
      <w:r w:rsidR="009C19A8">
        <w:rPr>
          <w:u w:val="single"/>
        </w:rPr>
        <w:t xml:space="preserve">must be </w:t>
      </w:r>
      <w:r w:rsidR="00A46691">
        <w:rPr>
          <w:u w:val="single"/>
        </w:rPr>
        <w:t>made to transfer funding</w:t>
      </w:r>
      <w:r w:rsidR="009C19A8">
        <w:rPr>
          <w:u w:val="single"/>
        </w:rPr>
        <w:t xml:space="preserve"> responsibility over</w:t>
      </w:r>
      <w:r>
        <w:t xml:space="preserve">. </w:t>
      </w:r>
      <w:r w:rsidR="00960F46">
        <w:t xml:space="preserve">This applies to people </w:t>
      </w:r>
      <w:r w:rsidR="009C19A8">
        <w:t>currently</w:t>
      </w:r>
      <w:r w:rsidR="00960F46">
        <w:t xml:space="preserve"> receiving S117 aftercare and those detained under the MHA in the future.</w:t>
      </w:r>
    </w:p>
    <w:p w14:paraId="2CFA35E6" w14:textId="15F28476" w:rsidR="00AE3000" w:rsidRDefault="00AE3000" w:rsidP="00A012C8">
      <w:pPr>
        <w:jc w:val="both"/>
      </w:pPr>
    </w:p>
    <w:p w14:paraId="13D0566C" w14:textId="130061A8" w:rsidR="00AE3000" w:rsidRDefault="00AE3000" w:rsidP="00A012C8">
      <w:pPr>
        <w:jc w:val="both"/>
      </w:pPr>
      <w:r>
        <w:t>NCC will work with other LSSAs to support the transfer of S117 aftercare funding to NCC upon receipt of all salient information, ie details of relevant detention under Mental Health Act (MHA), Care Act assessment and support plan, MCA assessments etc</w:t>
      </w:r>
      <w:r w:rsidR="00F218E4">
        <w:t>.</w:t>
      </w:r>
      <w:r>
        <w:t xml:space="preserve">  </w:t>
      </w:r>
    </w:p>
    <w:p w14:paraId="6810318A" w14:textId="50497C4F" w:rsidR="003441B0" w:rsidRDefault="003441B0" w:rsidP="00A012C8">
      <w:pPr>
        <w:jc w:val="both"/>
      </w:pPr>
    </w:p>
    <w:p w14:paraId="2E32C23C" w14:textId="5C667974" w:rsidR="003441B0" w:rsidRDefault="003441B0" w:rsidP="00A012C8">
      <w:pPr>
        <w:jc w:val="both"/>
      </w:pPr>
      <w:r>
        <w:t xml:space="preserve">The duty to provide free aftercare ceases if the person is no longer in need or if the person ceases to be a person to whom S117 applies, ie if they die, are deported or imprisoned. </w:t>
      </w:r>
    </w:p>
    <w:p w14:paraId="624E2CDB" w14:textId="6C1BC5F7" w:rsidR="003441B0" w:rsidRDefault="003441B0" w:rsidP="00A012C8">
      <w:pPr>
        <w:jc w:val="both"/>
      </w:pPr>
    </w:p>
    <w:p w14:paraId="7041713F" w14:textId="4546A8BF" w:rsidR="004245CE" w:rsidRDefault="004245CE" w:rsidP="00A012C8">
      <w:pPr>
        <w:jc w:val="both"/>
      </w:pPr>
      <w:r>
        <w:t xml:space="preserve">Should there be a new Mental Health Act (still pending) this may amend the S117 provision and bring it into line with S39 of the Care Act possibly resulting in further challenges on the issue of responsible authority. </w:t>
      </w:r>
    </w:p>
    <w:p w14:paraId="0B3291C1" w14:textId="0D9AAD92" w:rsidR="00341075" w:rsidRDefault="00341075" w:rsidP="00A012C8">
      <w:pPr>
        <w:jc w:val="both"/>
      </w:pPr>
    </w:p>
    <w:p w14:paraId="02016128" w14:textId="77777777" w:rsidR="00CF10CB" w:rsidRDefault="00CF10CB" w:rsidP="00A012C8">
      <w:pPr>
        <w:jc w:val="both"/>
      </w:pPr>
    </w:p>
    <w:p w14:paraId="4E39C2DC" w14:textId="77777777" w:rsidR="00CF2654" w:rsidRPr="00F712E4" w:rsidRDefault="00CF2654" w:rsidP="00A012C8">
      <w:pPr>
        <w:jc w:val="both"/>
        <w:rPr>
          <w:b/>
          <w:bCs/>
          <w:u w:val="single"/>
        </w:rPr>
      </w:pPr>
      <w:r w:rsidRPr="00F712E4">
        <w:rPr>
          <w:b/>
          <w:bCs/>
          <w:u w:val="single"/>
        </w:rPr>
        <w:t>Ordinarily resident</w:t>
      </w:r>
    </w:p>
    <w:p w14:paraId="06B75A8B" w14:textId="77777777" w:rsidR="00CF2654" w:rsidRDefault="00CF2654" w:rsidP="00A012C8">
      <w:pPr>
        <w:jc w:val="both"/>
      </w:pPr>
    </w:p>
    <w:p w14:paraId="2964A792" w14:textId="18B26A20" w:rsidR="00CF2654" w:rsidRDefault="00CF2654" w:rsidP="00A012C8">
      <w:pPr>
        <w:jc w:val="both"/>
      </w:pPr>
      <w:r>
        <w:t xml:space="preserve">Responsibility for S117 aftercare remains with the LSSA where the person is ordinarily resident </w:t>
      </w:r>
      <w:r w:rsidR="00B070CB">
        <w:t xml:space="preserve">(OR) </w:t>
      </w:r>
      <w:r>
        <w:t xml:space="preserve">immediately before being detained (S117(3)(a)).  It is the responsibility of LSSAs to identify </w:t>
      </w:r>
      <w:r w:rsidR="00B070CB">
        <w:t>OR</w:t>
      </w:r>
      <w:r w:rsidR="00022FB9">
        <w:t>.</w:t>
      </w:r>
      <w:r>
        <w:t xml:space="preserve"> </w:t>
      </w:r>
    </w:p>
    <w:p w14:paraId="0F9E1662" w14:textId="3ECD6F64" w:rsidR="00B25723" w:rsidRDefault="00B25723" w:rsidP="00A012C8">
      <w:pPr>
        <w:jc w:val="both"/>
      </w:pPr>
    </w:p>
    <w:p w14:paraId="237E5E26" w14:textId="15D4E3EF" w:rsidR="00CF2654" w:rsidRDefault="00B25723" w:rsidP="00A012C8">
      <w:pPr>
        <w:jc w:val="both"/>
      </w:pPr>
      <w:r>
        <w:t xml:space="preserve">There is no statutory definition of OR.  Its meaning and principles for determining where a person is OR have been developed through case law.  </w:t>
      </w:r>
      <w:r w:rsidRPr="00487515">
        <w:rPr>
          <w:i/>
          <w:iCs/>
        </w:rPr>
        <w:t>R v Barnet LBC ex p Shah (1983) 2 AC 309</w:t>
      </w:r>
      <w:r>
        <w:t xml:space="preserve"> states that OR ‘refers to a man’s abode in a particular place or country which he has adopted voluntarily and for settled purposes as part of the regular order of his life for the time being, whether of short or long duration’ (the Shah Test).  </w:t>
      </w:r>
      <w:r w:rsidR="00B070CB">
        <w:t>In the case of JG</w:t>
      </w:r>
      <w:r>
        <w:t xml:space="preserve"> however</w:t>
      </w:r>
      <w:r w:rsidR="00F218E4">
        <w:t xml:space="preserve"> (the person referred to in the Supreme Court’s ruling)</w:t>
      </w:r>
      <w:r w:rsidR="00B070CB">
        <w:t xml:space="preserve">, a best interest decision about moving to Swindon was made on JGs behalf and the Supreme Court concluded this amounted to being adopted voluntarily as it was a choice (best interests) made on her behalf due to her incapacity.  OR was subsequently transferred to Swindon immediately prior to the second detention.  BI decisions leading to a person becoming OR should therefore be treated in the same way as someone with capacity assuming OR. </w:t>
      </w:r>
    </w:p>
    <w:p w14:paraId="30F2BBA0" w14:textId="4BDB655F" w:rsidR="00B070CB" w:rsidRDefault="00B070CB" w:rsidP="00A012C8">
      <w:pPr>
        <w:jc w:val="both"/>
      </w:pPr>
    </w:p>
    <w:p w14:paraId="2CE7BD8F" w14:textId="77777777" w:rsidR="00CF10CB" w:rsidRDefault="00CF10CB" w:rsidP="00A012C8">
      <w:pPr>
        <w:jc w:val="both"/>
        <w:rPr>
          <w:b/>
          <w:bCs/>
          <w:u w:val="single"/>
        </w:rPr>
      </w:pPr>
    </w:p>
    <w:p w14:paraId="5B027B60" w14:textId="09F8E7F8" w:rsidR="00AE3000" w:rsidRPr="00C804DA" w:rsidRDefault="00454050" w:rsidP="00A012C8">
      <w:pPr>
        <w:jc w:val="both"/>
        <w:rPr>
          <w:b/>
          <w:bCs/>
          <w:u w:val="single"/>
        </w:rPr>
      </w:pPr>
      <w:r>
        <w:rPr>
          <w:b/>
          <w:bCs/>
          <w:u w:val="single"/>
        </w:rPr>
        <w:t>Funding</w:t>
      </w:r>
    </w:p>
    <w:p w14:paraId="2E7F116F" w14:textId="77777777" w:rsidR="00AE3000" w:rsidRDefault="00AE3000" w:rsidP="00A012C8">
      <w:pPr>
        <w:jc w:val="both"/>
      </w:pPr>
    </w:p>
    <w:p w14:paraId="468A9094" w14:textId="77777777" w:rsidR="005F6B00" w:rsidRPr="00DF0C76" w:rsidRDefault="001C29DB" w:rsidP="00A012C8">
      <w:pPr>
        <w:jc w:val="both"/>
      </w:pPr>
      <w:r w:rsidRPr="00DF0C76">
        <w:t xml:space="preserve">There is no additional guidance </w:t>
      </w:r>
      <w:r w:rsidR="003B770B" w:rsidRPr="00DF0C76">
        <w:t xml:space="preserve">in relation to retrospective funding as it is clear the responsible LSSA should be identified </w:t>
      </w:r>
      <w:r w:rsidR="00743A1B" w:rsidRPr="00DF0C76">
        <w:t>in accordance with the statutory guidance</w:t>
      </w:r>
      <w:r w:rsidR="009340E6" w:rsidRPr="00DF0C76">
        <w:t xml:space="preserve">, that has not been changed.  It is for LSSAs to undertake a scoping </w:t>
      </w:r>
      <w:r w:rsidR="003D4828" w:rsidRPr="00DF0C76">
        <w:t xml:space="preserve">exercise to identify those cases where the incorrect LSSA has accepted responsibility during the period of uncertainty since </w:t>
      </w:r>
      <w:r w:rsidR="00C115DD" w:rsidRPr="00DF0C76">
        <w:t xml:space="preserve">Worcestershire’s dispute with the DSCH’s determination first arose. </w:t>
      </w:r>
    </w:p>
    <w:p w14:paraId="5A24F756" w14:textId="77777777" w:rsidR="0023323E" w:rsidRPr="00DF0C76" w:rsidRDefault="0023323E" w:rsidP="00A012C8">
      <w:pPr>
        <w:jc w:val="both"/>
      </w:pPr>
    </w:p>
    <w:p w14:paraId="65B06593" w14:textId="77777777" w:rsidR="00CF10CB" w:rsidRDefault="00CF10CB" w:rsidP="00A012C8">
      <w:pPr>
        <w:jc w:val="both"/>
      </w:pPr>
    </w:p>
    <w:p w14:paraId="13AACA01" w14:textId="77777777" w:rsidR="00CF10CB" w:rsidRDefault="00CF10CB" w:rsidP="00A012C8">
      <w:pPr>
        <w:jc w:val="both"/>
      </w:pPr>
    </w:p>
    <w:p w14:paraId="1EEB948A" w14:textId="2584E094" w:rsidR="0049293D" w:rsidRPr="00DF0C76" w:rsidRDefault="0023323E" w:rsidP="00A012C8">
      <w:pPr>
        <w:jc w:val="both"/>
      </w:pPr>
      <w:r w:rsidRPr="00DF0C76">
        <w:lastRenderedPageBreak/>
        <w:t xml:space="preserve">The LSSA should undertake a review of </w:t>
      </w:r>
      <w:r w:rsidR="0067390A" w:rsidRPr="00DF0C76">
        <w:t xml:space="preserve">S117 cases.  Correspondence should be had with the relevant LSSAs </w:t>
      </w:r>
      <w:r w:rsidR="006216FB" w:rsidRPr="00DF0C76">
        <w:t>with whom NCC identify should be responsible for S117 aftercare or those which NCC identifies it should be responsible for</w:t>
      </w:r>
      <w:r w:rsidR="00E40CB2" w:rsidRPr="00DF0C76">
        <w:t xml:space="preserve">.  Any cases which are not agreed </w:t>
      </w:r>
      <w:r w:rsidR="002540A1" w:rsidRPr="00DF0C76">
        <w:t>should be referred to legal for advice.  Legal will enter into</w:t>
      </w:r>
      <w:r w:rsidR="00AE3559">
        <w:t xml:space="preserve"> </w:t>
      </w:r>
      <w:r w:rsidR="002540A1" w:rsidRPr="00DF0C76">
        <w:t xml:space="preserve">correspondence with the </w:t>
      </w:r>
      <w:r w:rsidR="00AE3559">
        <w:t>r</w:t>
      </w:r>
      <w:r w:rsidR="002540A1" w:rsidRPr="00DF0C76">
        <w:t>espective LSSA</w:t>
      </w:r>
      <w:r w:rsidR="00AE3559">
        <w:t>’</w:t>
      </w:r>
      <w:r w:rsidR="002540A1" w:rsidRPr="00DF0C76">
        <w:t>s legal department.  Cases that are still not agreed may need to be progressed to the DSCH for Determination.</w:t>
      </w:r>
      <w:r w:rsidR="008875FD" w:rsidRPr="00DF0C76">
        <w:t xml:space="preserve"> </w:t>
      </w:r>
      <w:r w:rsidR="00CC1C69" w:rsidRPr="00DF0C76">
        <w:t xml:space="preserve"> T</w:t>
      </w:r>
      <w:r w:rsidR="008875FD" w:rsidRPr="00DF0C76">
        <w:t>hose cases that are agreed will need consideration of financial</w:t>
      </w:r>
      <w:r w:rsidR="00AE3559">
        <w:t xml:space="preserve"> adjustments.</w:t>
      </w:r>
      <w:r w:rsidR="008875FD" w:rsidRPr="00DF0C76">
        <w:t xml:space="preserve"> </w:t>
      </w:r>
    </w:p>
    <w:p w14:paraId="13C9C5A4" w14:textId="77777777" w:rsidR="00CC1C69" w:rsidRPr="00CC1C69" w:rsidRDefault="00CC1C69" w:rsidP="00A012C8">
      <w:pPr>
        <w:jc w:val="both"/>
        <w:rPr>
          <w:u w:val="single"/>
        </w:rPr>
      </w:pPr>
    </w:p>
    <w:p w14:paraId="424D4F1F" w14:textId="5E243297" w:rsidR="00AE3000" w:rsidRDefault="004245CE" w:rsidP="00A012C8">
      <w:pPr>
        <w:jc w:val="both"/>
      </w:pPr>
      <w:r>
        <w:t>NCC will continue to fund placements until agreement has been reached regarding transfer of funding and a system is in place to process this.  Agreement will then be reached as to retrospective payments</w:t>
      </w:r>
      <w:r w:rsidR="00B23FB0">
        <w:t xml:space="preserve"> if appropriate</w:t>
      </w:r>
      <w:r>
        <w:t>.</w:t>
      </w:r>
      <w:r w:rsidR="00B23FB0">
        <w:t xml:space="preserve">  </w:t>
      </w:r>
    </w:p>
    <w:p w14:paraId="202B35EA" w14:textId="77777777" w:rsidR="006A61C4" w:rsidRDefault="006A61C4" w:rsidP="00A012C8">
      <w:pPr>
        <w:jc w:val="both"/>
      </w:pPr>
    </w:p>
    <w:p w14:paraId="47795A63" w14:textId="4EEF0A2E" w:rsidR="006A61C4" w:rsidRDefault="006A61C4" w:rsidP="00A012C8">
      <w:pPr>
        <w:jc w:val="both"/>
      </w:pPr>
      <w:r>
        <w:t xml:space="preserve">Discussions will be had between relevant LSSAs </w:t>
      </w:r>
      <w:r w:rsidR="00C7037C">
        <w:t xml:space="preserve">at senior management level as to </w:t>
      </w:r>
      <w:r w:rsidR="00F510BC">
        <w:t xml:space="preserve">whether any LSSAs wish to agree a Memorandum of Understanding in relation to </w:t>
      </w:r>
      <w:r w:rsidR="005852D9">
        <w:t>retrospective financial adjustments</w:t>
      </w:r>
      <w:r w:rsidR="004E1FD6">
        <w:t xml:space="preserve">.  LSSAs need to consider the implications in terms of financial adjustments and </w:t>
      </w:r>
      <w:r w:rsidR="00C12CAD">
        <w:t>resources</w:t>
      </w:r>
    </w:p>
    <w:p w14:paraId="2DB5A4FF" w14:textId="05E4C4D6" w:rsidR="00F218E4" w:rsidRDefault="00F218E4" w:rsidP="00A012C8">
      <w:pPr>
        <w:jc w:val="both"/>
      </w:pPr>
    </w:p>
    <w:p w14:paraId="3460086E" w14:textId="633030C3" w:rsidR="00CC1C69" w:rsidRDefault="00CC1C69" w:rsidP="00A012C8">
      <w:pPr>
        <w:jc w:val="both"/>
      </w:pPr>
    </w:p>
    <w:p w14:paraId="4ACB89A6" w14:textId="515FE4B7" w:rsidR="00CC1C69" w:rsidRDefault="00CC1C69" w:rsidP="00A012C8">
      <w:pPr>
        <w:jc w:val="both"/>
      </w:pPr>
    </w:p>
    <w:p w14:paraId="66D61FE6" w14:textId="3F92B3CA" w:rsidR="00CF10CB" w:rsidRDefault="00CF10CB" w:rsidP="00A012C8">
      <w:pPr>
        <w:jc w:val="both"/>
      </w:pPr>
    </w:p>
    <w:p w14:paraId="7A08222C" w14:textId="77777777" w:rsidR="00CF10CB" w:rsidRDefault="00CF10CB" w:rsidP="00A012C8">
      <w:pPr>
        <w:jc w:val="both"/>
      </w:pPr>
    </w:p>
    <w:p w14:paraId="1C6D3FA9" w14:textId="77777777" w:rsidR="00807A83" w:rsidRDefault="00807A83" w:rsidP="00A012C8">
      <w:pPr>
        <w:jc w:val="both"/>
      </w:pPr>
    </w:p>
    <w:p w14:paraId="1FE294DE" w14:textId="03235BA1" w:rsidR="00CF10CB" w:rsidRDefault="00807A83" w:rsidP="00807A83">
      <w:pPr>
        <w:jc w:val="right"/>
        <w:rPr>
          <w:b/>
          <w:bCs/>
          <w:i/>
          <w:iCs/>
        </w:rPr>
      </w:pPr>
      <w:r w:rsidRPr="00807A83">
        <w:rPr>
          <w:b/>
          <w:bCs/>
          <w:i/>
          <w:iCs/>
        </w:rPr>
        <w:t>Jacky Ingerson</w:t>
      </w:r>
      <w:r w:rsidR="00CF10CB">
        <w:rPr>
          <w:b/>
          <w:bCs/>
          <w:i/>
          <w:iCs/>
        </w:rPr>
        <w:t>, Principal AMHP Lead</w:t>
      </w:r>
    </w:p>
    <w:p w14:paraId="2F957BC3" w14:textId="2B9040ED" w:rsidR="00807A83" w:rsidRPr="00807A83" w:rsidRDefault="00CC1C69" w:rsidP="00807A83">
      <w:pPr>
        <w:jc w:val="right"/>
        <w:rPr>
          <w:b/>
          <w:bCs/>
          <w:i/>
          <w:iCs/>
        </w:rPr>
      </w:pPr>
      <w:r>
        <w:rPr>
          <w:b/>
          <w:bCs/>
          <w:i/>
          <w:iCs/>
        </w:rPr>
        <w:t xml:space="preserve"> (in consultation with Legal Services)</w:t>
      </w:r>
    </w:p>
    <w:p w14:paraId="46F23F49" w14:textId="27675F54" w:rsidR="00B85867" w:rsidRDefault="00CC1C69" w:rsidP="00231D3A">
      <w:pPr>
        <w:jc w:val="right"/>
      </w:pPr>
      <w:r>
        <w:rPr>
          <w:b/>
          <w:bCs/>
          <w:i/>
          <w:iCs/>
        </w:rPr>
        <w:t>27</w:t>
      </w:r>
      <w:r w:rsidR="00807A83" w:rsidRPr="00807A83">
        <w:rPr>
          <w:b/>
          <w:bCs/>
          <w:i/>
          <w:iCs/>
        </w:rPr>
        <w:t>/10/23</w:t>
      </w:r>
    </w:p>
    <w:sectPr w:rsidR="00B85867" w:rsidSect="00A012C8">
      <w:footerReference w:type="default" r:id="rId15"/>
      <w:pgSz w:w="11906" w:h="16838"/>
      <w:pgMar w:top="1361" w:right="1361" w:bottom="1361"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8E08C" w14:textId="77777777" w:rsidR="003E6F7D" w:rsidRDefault="003E6F7D" w:rsidP="00085D39">
      <w:r>
        <w:separator/>
      </w:r>
    </w:p>
  </w:endnote>
  <w:endnote w:type="continuationSeparator" w:id="0">
    <w:p w14:paraId="0F49040C" w14:textId="77777777" w:rsidR="003E6F7D" w:rsidRDefault="003E6F7D" w:rsidP="00085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34FF6" w14:textId="77777777" w:rsidR="00CF10CB" w:rsidRDefault="00CF10CB">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7C38FA2" w14:textId="77777777" w:rsidR="00CF10CB" w:rsidRDefault="00CF10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08214" w14:textId="77777777" w:rsidR="003E6F7D" w:rsidRDefault="003E6F7D" w:rsidP="00085D39">
      <w:r>
        <w:separator/>
      </w:r>
    </w:p>
  </w:footnote>
  <w:footnote w:type="continuationSeparator" w:id="0">
    <w:p w14:paraId="523CA783" w14:textId="77777777" w:rsidR="003E6F7D" w:rsidRDefault="003E6F7D" w:rsidP="00085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71181"/>
    <w:multiLevelType w:val="hybridMultilevel"/>
    <w:tmpl w:val="4948CB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44851DC"/>
    <w:multiLevelType w:val="multilevel"/>
    <w:tmpl w:val="3C5E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7059030">
    <w:abstractNumId w:val="1"/>
  </w:num>
  <w:num w:numId="2" w16cid:durableId="1291404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88"/>
    <w:rsid w:val="00022FB9"/>
    <w:rsid w:val="00045C29"/>
    <w:rsid w:val="00085D39"/>
    <w:rsid w:val="00090212"/>
    <w:rsid w:val="000919E7"/>
    <w:rsid w:val="000B5BA0"/>
    <w:rsid w:val="000C2648"/>
    <w:rsid w:val="00114B0B"/>
    <w:rsid w:val="001501C9"/>
    <w:rsid w:val="001833E0"/>
    <w:rsid w:val="0019584F"/>
    <w:rsid w:val="001B038E"/>
    <w:rsid w:val="001C29DB"/>
    <w:rsid w:val="001C4DFA"/>
    <w:rsid w:val="001E5ABE"/>
    <w:rsid w:val="002009BC"/>
    <w:rsid w:val="00216D3A"/>
    <w:rsid w:val="00217F19"/>
    <w:rsid w:val="00231D3A"/>
    <w:rsid w:val="0023323E"/>
    <w:rsid w:val="002540A1"/>
    <w:rsid w:val="00255B8A"/>
    <w:rsid w:val="00256F39"/>
    <w:rsid w:val="002A4151"/>
    <w:rsid w:val="002B2AF1"/>
    <w:rsid w:val="00341075"/>
    <w:rsid w:val="003441B0"/>
    <w:rsid w:val="003666A7"/>
    <w:rsid w:val="00372CD6"/>
    <w:rsid w:val="00391A87"/>
    <w:rsid w:val="003B0356"/>
    <w:rsid w:val="003B770B"/>
    <w:rsid w:val="003C7534"/>
    <w:rsid w:val="003D4828"/>
    <w:rsid w:val="003D6088"/>
    <w:rsid w:val="003E6F7D"/>
    <w:rsid w:val="0041280B"/>
    <w:rsid w:val="004245CE"/>
    <w:rsid w:val="00426474"/>
    <w:rsid w:val="00432517"/>
    <w:rsid w:val="0044551A"/>
    <w:rsid w:val="00454050"/>
    <w:rsid w:val="0046130D"/>
    <w:rsid w:val="00487515"/>
    <w:rsid w:val="0049293D"/>
    <w:rsid w:val="004A3D6A"/>
    <w:rsid w:val="004E1FD6"/>
    <w:rsid w:val="00513405"/>
    <w:rsid w:val="00526CE0"/>
    <w:rsid w:val="00536727"/>
    <w:rsid w:val="005633DC"/>
    <w:rsid w:val="005846A3"/>
    <w:rsid w:val="005852D9"/>
    <w:rsid w:val="005B7CF7"/>
    <w:rsid w:val="005F6B00"/>
    <w:rsid w:val="006207BF"/>
    <w:rsid w:val="006216FB"/>
    <w:rsid w:val="0067390A"/>
    <w:rsid w:val="006A3A3E"/>
    <w:rsid w:val="006A61C4"/>
    <w:rsid w:val="006B1F49"/>
    <w:rsid w:val="006C64A2"/>
    <w:rsid w:val="007234A5"/>
    <w:rsid w:val="00743A1B"/>
    <w:rsid w:val="007D5F37"/>
    <w:rsid w:val="007E0793"/>
    <w:rsid w:val="00805C4B"/>
    <w:rsid w:val="00807A83"/>
    <w:rsid w:val="008265B0"/>
    <w:rsid w:val="00853F9E"/>
    <w:rsid w:val="00854692"/>
    <w:rsid w:val="00863752"/>
    <w:rsid w:val="00880DB0"/>
    <w:rsid w:val="008875FD"/>
    <w:rsid w:val="008A444C"/>
    <w:rsid w:val="008C2725"/>
    <w:rsid w:val="00905FA5"/>
    <w:rsid w:val="00916618"/>
    <w:rsid w:val="00930895"/>
    <w:rsid w:val="009340E6"/>
    <w:rsid w:val="00937E4E"/>
    <w:rsid w:val="00960F46"/>
    <w:rsid w:val="009C19A8"/>
    <w:rsid w:val="009E6867"/>
    <w:rsid w:val="00A012C8"/>
    <w:rsid w:val="00A03F4C"/>
    <w:rsid w:val="00A46691"/>
    <w:rsid w:val="00AA135B"/>
    <w:rsid w:val="00AE3000"/>
    <w:rsid w:val="00AE3559"/>
    <w:rsid w:val="00AF2E14"/>
    <w:rsid w:val="00AF31D5"/>
    <w:rsid w:val="00B05D9A"/>
    <w:rsid w:val="00B070CB"/>
    <w:rsid w:val="00B23FB0"/>
    <w:rsid w:val="00B25723"/>
    <w:rsid w:val="00B4323B"/>
    <w:rsid w:val="00B60540"/>
    <w:rsid w:val="00B657F6"/>
    <w:rsid w:val="00B85867"/>
    <w:rsid w:val="00BE1C05"/>
    <w:rsid w:val="00BF7F75"/>
    <w:rsid w:val="00C0044E"/>
    <w:rsid w:val="00C115DD"/>
    <w:rsid w:val="00C12CAD"/>
    <w:rsid w:val="00C7037C"/>
    <w:rsid w:val="00C75AB3"/>
    <w:rsid w:val="00C77241"/>
    <w:rsid w:val="00C804DA"/>
    <w:rsid w:val="00CC1C69"/>
    <w:rsid w:val="00CC71FB"/>
    <w:rsid w:val="00CD1773"/>
    <w:rsid w:val="00CD6D7B"/>
    <w:rsid w:val="00CF10CB"/>
    <w:rsid w:val="00CF2654"/>
    <w:rsid w:val="00D45EF4"/>
    <w:rsid w:val="00D46EBA"/>
    <w:rsid w:val="00D90EDF"/>
    <w:rsid w:val="00D93C13"/>
    <w:rsid w:val="00DF0C76"/>
    <w:rsid w:val="00E01E2F"/>
    <w:rsid w:val="00E17044"/>
    <w:rsid w:val="00E31392"/>
    <w:rsid w:val="00E40CB2"/>
    <w:rsid w:val="00E51DBC"/>
    <w:rsid w:val="00E76B5A"/>
    <w:rsid w:val="00EB24A9"/>
    <w:rsid w:val="00EB4EE8"/>
    <w:rsid w:val="00EE5B3E"/>
    <w:rsid w:val="00EF6E8C"/>
    <w:rsid w:val="00F050DA"/>
    <w:rsid w:val="00F218E4"/>
    <w:rsid w:val="00F33AF9"/>
    <w:rsid w:val="00F44D7E"/>
    <w:rsid w:val="00F510BC"/>
    <w:rsid w:val="00F53188"/>
    <w:rsid w:val="00F626B9"/>
    <w:rsid w:val="00F712E4"/>
    <w:rsid w:val="00F85EC6"/>
    <w:rsid w:val="00FB4A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6ED9A"/>
  <w15:chartTrackingRefBased/>
  <w15:docId w15:val="{23DCEAF8-0B34-44D5-890D-BC979A75C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188"/>
    <w:pPr>
      <w:spacing w:after="0" w:line="240" w:lineRule="auto"/>
    </w:pPr>
    <w:rPr>
      <w:rFonts w:ascii="Arial" w:eastAsia="Times New Roman" w:hAnsi="Arial"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53188"/>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5867"/>
    <w:rPr>
      <w:color w:val="0000FF"/>
      <w:u w:val="single"/>
    </w:rPr>
  </w:style>
  <w:style w:type="paragraph" w:customStyle="1" w:styleId="xmsonormal">
    <w:name w:val="x_msonormal"/>
    <w:basedOn w:val="Normal"/>
    <w:rsid w:val="00B85867"/>
    <w:rPr>
      <w:rFonts w:ascii="Calibri" w:eastAsiaTheme="minorHAnsi" w:hAnsi="Calibri" w:cs="Calibri"/>
      <w:sz w:val="22"/>
      <w:szCs w:val="22"/>
    </w:rPr>
  </w:style>
  <w:style w:type="character" w:styleId="FollowedHyperlink">
    <w:name w:val="FollowedHyperlink"/>
    <w:basedOn w:val="DefaultParagraphFont"/>
    <w:uiPriority w:val="99"/>
    <w:semiHidden/>
    <w:unhideWhenUsed/>
    <w:rsid w:val="00B85867"/>
    <w:rPr>
      <w:color w:val="954F72" w:themeColor="followedHyperlink"/>
      <w:u w:val="single"/>
    </w:rPr>
  </w:style>
  <w:style w:type="paragraph" w:styleId="ListParagraph">
    <w:name w:val="List Paragraph"/>
    <w:basedOn w:val="Normal"/>
    <w:uiPriority w:val="34"/>
    <w:qFormat/>
    <w:rsid w:val="00255B8A"/>
    <w:pPr>
      <w:ind w:left="720"/>
      <w:contextualSpacing/>
    </w:pPr>
  </w:style>
  <w:style w:type="paragraph" w:styleId="Header">
    <w:name w:val="header"/>
    <w:basedOn w:val="Normal"/>
    <w:link w:val="HeaderChar"/>
    <w:uiPriority w:val="99"/>
    <w:unhideWhenUsed/>
    <w:rsid w:val="00085D39"/>
    <w:pPr>
      <w:tabs>
        <w:tab w:val="center" w:pos="4513"/>
        <w:tab w:val="right" w:pos="9026"/>
      </w:tabs>
    </w:pPr>
  </w:style>
  <w:style w:type="character" w:customStyle="1" w:styleId="HeaderChar">
    <w:name w:val="Header Char"/>
    <w:basedOn w:val="DefaultParagraphFont"/>
    <w:link w:val="Header"/>
    <w:uiPriority w:val="99"/>
    <w:rsid w:val="00085D39"/>
    <w:rPr>
      <w:rFonts w:ascii="Arial" w:eastAsia="Times New Roman" w:hAnsi="Arial" w:cs="Times New Roman"/>
      <w:sz w:val="24"/>
      <w:szCs w:val="24"/>
      <w:lang w:eastAsia="en-GB"/>
    </w:rPr>
  </w:style>
  <w:style w:type="paragraph" w:styleId="Footer">
    <w:name w:val="footer"/>
    <w:basedOn w:val="Normal"/>
    <w:link w:val="FooterChar"/>
    <w:uiPriority w:val="99"/>
    <w:unhideWhenUsed/>
    <w:rsid w:val="00085D39"/>
    <w:pPr>
      <w:tabs>
        <w:tab w:val="center" w:pos="4513"/>
        <w:tab w:val="right" w:pos="9026"/>
      </w:tabs>
    </w:pPr>
  </w:style>
  <w:style w:type="character" w:customStyle="1" w:styleId="FooterChar">
    <w:name w:val="Footer Char"/>
    <w:basedOn w:val="DefaultParagraphFont"/>
    <w:link w:val="Footer"/>
    <w:uiPriority w:val="99"/>
    <w:rsid w:val="00085D39"/>
    <w:rPr>
      <w:rFonts w:ascii="Arial" w:eastAsia="Times New Roman" w:hAnsi="Arial" w:cs="Times New Roman"/>
      <w:sz w:val="24"/>
      <w:szCs w:val="24"/>
      <w:lang w:eastAsia="en-GB"/>
    </w:rPr>
  </w:style>
  <w:style w:type="paragraph" w:styleId="Revision">
    <w:name w:val="Revision"/>
    <w:hidden/>
    <w:uiPriority w:val="99"/>
    <w:semiHidden/>
    <w:rsid w:val="00937E4E"/>
    <w:pPr>
      <w:spacing w:after="0" w:line="240" w:lineRule="auto"/>
    </w:pPr>
    <w:rPr>
      <w:rFonts w:ascii="Arial" w:eastAsia="Times New Roman" w:hAnsi="Arial" w:cs="Times New Roman"/>
      <w:sz w:val="24"/>
      <w:szCs w:val="24"/>
      <w:lang w:eastAsia="en-GB"/>
    </w:rPr>
  </w:style>
  <w:style w:type="paragraph" w:styleId="NormalWeb">
    <w:name w:val="Normal (Web)"/>
    <w:basedOn w:val="Normal"/>
    <w:uiPriority w:val="99"/>
    <w:unhideWhenUsed/>
    <w:rsid w:val="00E51DBC"/>
    <w:pPr>
      <w:spacing w:before="100" w:beforeAutospacing="1" w:after="100" w:afterAutospacing="1"/>
    </w:pPr>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CC1C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755629">
      <w:bodyDiv w:val="1"/>
      <w:marLeft w:val="0"/>
      <w:marRight w:val="0"/>
      <w:marTop w:val="0"/>
      <w:marBottom w:val="0"/>
      <w:divBdr>
        <w:top w:val="none" w:sz="0" w:space="0" w:color="auto"/>
        <w:left w:val="none" w:sz="0" w:space="0" w:color="auto"/>
        <w:bottom w:val="none" w:sz="0" w:space="0" w:color="auto"/>
        <w:right w:val="none" w:sz="0" w:space="0" w:color="auto"/>
      </w:divBdr>
    </w:div>
    <w:div w:id="1004044220">
      <w:bodyDiv w:val="1"/>
      <w:marLeft w:val="0"/>
      <w:marRight w:val="0"/>
      <w:marTop w:val="0"/>
      <w:marBottom w:val="0"/>
      <w:divBdr>
        <w:top w:val="none" w:sz="0" w:space="0" w:color="auto"/>
        <w:left w:val="none" w:sz="0" w:space="0" w:color="auto"/>
        <w:bottom w:val="none" w:sz="0" w:space="0" w:color="auto"/>
        <w:right w:val="none" w:sz="0" w:space="0" w:color="auto"/>
      </w:divBdr>
    </w:div>
    <w:div w:id="1152021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ur01.safelinks.protection.outlook.com/?url=https%3A%2F%2Fwww.supremecourt.uk%2Fcases%2Fuksc-2022-0022.html&amp;data=05%7C01%7Cjacqueline.ingerson%40nottscc.gov.uk%7Cd04eaa18c3bd45794dae08db99b76b02%7C6e5a37bba9614e4fbaae2798a2245f30%7C0%7C0%7C638272785283212338%7CUnknown%7CTWFpbGZsb3d8eyJWIjoiMC4wLjAwMDAiLCJQIjoiV2luMzIiLCJBTiI6Ik1haWwiLCJXVCI6Mn0%3D%7C3000%7C%7C%7C&amp;sdata=z2XfTs8Q824xZrPIhP6GmLQP%2FsNBwUwTH0d2chAz9Uo%3D&amp;reserved=0"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england.nhs.uk/who-pa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Case_x0020_Status xmlns="88cc1ac3-d661-4513-9676-173c55b04fe2">Open</Case_x0020_Status>
    <Case_x0020_Assingee xmlns="88cc1ac3-d661-4513-9676-173c55b04fe2">
      <UserInfo>
        <DisplayName/>
        <AccountId xsi:nil="true"/>
        <AccountType/>
      </UserInfo>
    </Case_x0020_Assinge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12976cec-d0ce-485f-bc4a-34973482e79f" ContentTypeId="0x010100FC423CB0F882E74A808AAA326D89A23E" PreviousValue="false"/>
</file>

<file path=customXml/item4.xml><?xml version="1.0" encoding="utf-8"?>
<ct:contentTypeSchema xmlns:ct="http://schemas.microsoft.com/office/2006/metadata/contentType" xmlns:ma="http://schemas.microsoft.com/office/2006/metadata/properties/metaAttributes" ct:_="" ma:_="" ma:contentTypeName="Legal PoC Content Type" ma:contentTypeID="0x010100FC423CB0F882E74A808AAA326D89A23E00B39B0BE13E91F44186EE9D6952024D35" ma:contentTypeVersion="44" ma:contentTypeDescription="" ma:contentTypeScope="" ma:versionID="198ac816de31f1fc65809589eff490c0">
  <xsd:schema xmlns:xsd="http://www.w3.org/2001/XMLSchema" xmlns:xs="http://www.w3.org/2001/XMLSchema" xmlns:p="http://schemas.microsoft.com/office/2006/metadata/properties" xmlns:ns2="88cc1ac3-d661-4513-9676-173c55b04fe2" targetNamespace="http://schemas.microsoft.com/office/2006/metadata/properties" ma:root="true" ma:fieldsID="2f3880af0c7d4cb8d3e773f21931a9f5" ns2:_="">
    <xsd:import namespace="88cc1ac3-d661-4513-9676-173c55b04fe2"/>
    <xsd:element name="properties">
      <xsd:complexType>
        <xsd:sequence>
          <xsd:element name="documentManagement">
            <xsd:complexType>
              <xsd:all>
                <xsd:element ref="ns2:Case_x0020_Status" minOccurs="0"/>
                <xsd:element ref="ns2:Case_x0020_Assinge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c1ac3-d661-4513-9676-173c55b04fe2" elementFormDefault="qualified">
    <xsd:import namespace="http://schemas.microsoft.com/office/2006/documentManagement/types"/>
    <xsd:import namespace="http://schemas.microsoft.com/office/infopath/2007/PartnerControls"/>
    <xsd:element name="Case_x0020_Status" ma:index="8" nillable="true" ma:displayName="Case Status" ma:default="Open" ma:format="Dropdown" ma:internalName="Case_x0020_Status" ma:readOnly="false">
      <xsd:simpleType>
        <xsd:restriction base="dms:Choice">
          <xsd:enumeration value="Open"/>
          <xsd:enumeration value="Closed"/>
        </xsd:restriction>
      </xsd:simpleType>
    </xsd:element>
    <xsd:element name="Case_x0020_Assingee" ma:index="9" nillable="true" ma:displayName="Case Owner" ma:list="UserInfo" ma:SharePointGroup="0" ma:internalName="Case_x0020_Assingee" ma:readOnly="false"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752BA-3869-49A0-8CEF-AAA3550D5C3C}">
  <ds:schemaRefs>
    <ds:schemaRef ds:uri="http://schemas.microsoft.com/office/2006/metadata/properties"/>
    <ds:schemaRef ds:uri="http://schemas.microsoft.com/office/infopath/2007/PartnerControls"/>
    <ds:schemaRef ds:uri="88cc1ac3-d661-4513-9676-173c55b04fe2"/>
  </ds:schemaRefs>
</ds:datastoreItem>
</file>

<file path=customXml/itemProps2.xml><?xml version="1.0" encoding="utf-8"?>
<ds:datastoreItem xmlns:ds="http://schemas.openxmlformats.org/officeDocument/2006/customXml" ds:itemID="{E2D87664-85F0-42E7-A878-CDA431846727}">
  <ds:schemaRefs>
    <ds:schemaRef ds:uri="http://schemas.microsoft.com/sharepoint/v3/contenttype/forms"/>
  </ds:schemaRefs>
</ds:datastoreItem>
</file>

<file path=customXml/itemProps3.xml><?xml version="1.0" encoding="utf-8"?>
<ds:datastoreItem xmlns:ds="http://schemas.openxmlformats.org/officeDocument/2006/customXml" ds:itemID="{E4AAD0BD-D0D9-4B29-9D3D-359660A367A9}">
  <ds:schemaRefs>
    <ds:schemaRef ds:uri="Microsoft.SharePoint.Taxonomy.ContentTypeSync"/>
  </ds:schemaRefs>
</ds:datastoreItem>
</file>

<file path=customXml/itemProps4.xml><?xml version="1.0" encoding="utf-8"?>
<ds:datastoreItem xmlns:ds="http://schemas.openxmlformats.org/officeDocument/2006/customXml" ds:itemID="{B94FB3BB-EB87-433D-96D8-A9ACBC144E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c1ac3-d661-4513-9676-173c55b04f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DCC7DC3-FC60-4B0E-9745-C4CB28D6A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NCC</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Ingerson</dc:creator>
  <cp:keywords/>
  <dc:description/>
  <cp:lastModifiedBy>Jacqueline Ingerson</cp:lastModifiedBy>
  <cp:revision>9</cp:revision>
  <dcterms:created xsi:type="dcterms:W3CDTF">2023-10-27T08:17:00Z</dcterms:created>
  <dcterms:modified xsi:type="dcterms:W3CDTF">2023-10-27T09:47:00Z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0x010100530F4C96FBD1DC449E0611D9BBEC4D11</vt:lpwstr>
  </property>
</Properties>
</file>