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56"/>
          <w:szCs w:val="56"/>
        </w:rPr>
        <w:t xml:space="preserve">TOWERCO ROLLOUT PLAYBOOK</w:t>
      </w:r>
    </w:p>
    <w:p>
      <w:pPr>
        <w:spacing w:after="480" w:before="120"/>
        <w:jc w:val="center"/>
      </w:pPr>
      <w:r>
        <w:rPr>
          <w:rFonts w:ascii="Arial" w:cs="Arial" w:eastAsia="Arial" w:hAnsi="Arial"/>
          <w:color w:val="2E75B6"/>
          <w:sz w:val="32"/>
          <w:szCs w:val="32"/>
        </w:rPr>
        <w:t xml:space="preserve">Build-to-Suit • Colocation • Ready-to-Build</w:t>
      </w:r>
    </w:p>
    <w:p>
      <w:pPr>
        <w:jc w:val="center"/>
      </w:pPr>
      <w:r>
        <w:rPr>
          <w:rFonts w:ascii="Arial" w:cs="Arial" w:eastAsia="Arial" w:hAnsi="Arial"/>
          <w:i/>
          <w:iCs/>
          <w:color w:val="595959"/>
          <w:sz w:val="26"/>
          <w:szCs w:val="26"/>
        </w:rPr>
        <w:t xml:space="preserve">Operational Framework, Templates, Policies &amp; Governance</w:t>
      </w:r>
    </w:p>
    <w:p>
      <w:pPr>
        <w:spacing w:before="1200"/>
        <w:jc w:val="center"/>
      </w:pPr>
      <w:r>
        <w:rPr>
          <w:rFonts w:ascii="Arial" w:cs="Arial" w:eastAsia="Arial" w:hAnsi="Arial"/>
          <w:b/>
          <w:bCs/>
          <w:color w:val="C00000"/>
          <w:sz w:val="28"/>
          <w:szCs w:val="28"/>
        </w:rPr>
        <w:t xml:space="preserve">120-Day SLA Compliance Framework</w:t>
      </w:r>
    </w:p>
    <w:p>
      <w:pPr>
        <w:spacing w:before="120"/>
        <w:jc w:val="center"/>
      </w:pPr>
      <w:r>
        <w:rPr>
          <w:rFonts w:ascii="Arial" w:cs="Arial" w:eastAsia="Arial" w:hAnsi="Arial"/>
          <w:i/>
          <w:iCs/>
          <w:color w:val="595959"/>
          <w:sz w:val="22"/>
          <w:szCs w:val="22"/>
        </w:rPr>
        <w:t xml:space="preserve">Endorsement → RFI in 120 Calendar Days (MLA Clause 3.2)</w:t>
      </w:r>
    </w:p>
    <w:p>
      <w:pPr>
        <w:spacing w:before="2400"/>
        <w:jc w:val="center"/>
      </w:pPr>
      <w:r>
        <w:rPr>
          <w:rFonts w:ascii="Arial" w:cs="Arial" w:eastAsia="Arial" w:hAnsi="Arial"/>
          <w:i/>
          <w:iCs/>
          <w:color w:val="595959"/>
          <w:sz w:val="18"/>
          <w:szCs w:val="18"/>
        </w:rPr>
        <w:t xml:space="preserve">Aligned with: MLA v3 (July 2021) • RA 12234 (Konektadong Pinoy Act, 2025) • DPWH NBC • NTC Memo Circulars</w:t>
      </w:r>
    </w:p>
    <w:p>
      <w:pPr>
        <w:jc w:val="center"/>
      </w:pPr>
      <w:r>
        <w:rPr>
          <w:rFonts w:ascii="Arial" w:cs="Arial" w:eastAsia="Arial" w:hAnsi="Arial"/>
          <w:color w:val="595959"/>
          <w:sz w:val="18"/>
          <w:szCs w:val="18"/>
        </w:rPr>
        <w:t xml:space="preserve">Version 1.0 | For Internal Use</w:t>
      </w:r>
    </w:p>
    <w:p>
      <w:pPr>
        <w:pStyle w:val="Heading1"/>
        <w:pageBreakBefore/>
        <w:spacing w:after="240" w:before="240"/>
      </w:pPr>
      <w:r>
        <w:rPr>
          <w:rFonts w:ascii="Arial" w:cs="Arial" w:eastAsia="Arial" w:hAnsi="Arial"/>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Arial" w:cs="Arial" w:eastAsia="Arial" w:hAnsi="Arial"/>
        </w:rPr>
        <w:t xml:space="preserve">1. Executive Summary &amp; Governing Framework</w:t>
      </w:r>
    </w:p>
    <w:p>
      <w:pPr>
        <w:pStyle w:val="Heading2"/>
        <w:spacing w:after="180" w:before="240"/>
      </w:pPr>
      <w:r>
        <w:rPr>
          <w:rFonts w:ascii="Arial" w:cs="Arial" w:eastAsia="Arial" w:hAnsi="Arial"/>
        </w:rPr>
        <w:t xml:space="preserve">1.1 Purpose</w:t>
      </w:r>
    </w:p>
    <w:p>
      <w:pPr>
        <w:spacing w:after="200" w:before="0"/>
      </w:pPr>
      <w:r>
        <w:rPr>
          <w:rFonts w:ascii="Arial" w:cs="Arial" w:eastAsia="Arial" w:hAnsi="Arial"/>
        </w:rPr>
        <w:t xml:space="preserve">This Playbook is the single operational manual governing every site rollout — Build-to-Suit (BTS), Colocation, and Ready-to-Build (RTB) — from MNO Endorsement through Ready for Installation (RFI). It binds Business Development, SAQ, Engineering, CME, Power, PMO, and Finance to a shared definition of done, gated by hard milestones and back-stopped by escalation and penalty regimes.</w:t>
      </w:r>
    </w:p>
    <w:p>
      <w:pPr>
        <w:pStyle w:val="Heading2"/>
        <w:spacing w:after="180" w:before="240"/>
      </w:pPr>
      <w:r>
        <w:rPr>
          <w:rFonts w:ascii="Arial" w:cs="Arial" w:eastAsia="Arial" w:hAnsi="Arial"/>
        </w:rPr>
        <w:t xml:space="preserve">1.2 The Binding SLA</w:t>
      </w:r>
    </w:p>
    <w:p>
      <w:pPr>
        <w:spacing w:after="120" w:before="0"/>
      </w:pPr>
      <w:r>
        <w:rPr>
          <w:rFonts w:ascii="Arial" w:cs="Arial" w:eastAsia="Arial" w:hAnsi="Arial"/>
        </w:rPr>
        <w:t xml:space="preserve">Per MLA Clause 3.2 and the Delivery Period definition (Schedule 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Project Type</w:t>
            </w:r>
          </w:p>
        </w:tc>
        <w:tc>
          <w:tcPr>
            <w:tcW w:type="dxa" w:w="2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Delivery Period</w:t>
            </w:r>
          </w:p>
        </w:tc>
        <w:tc>
          <w:tcPr>
            <w:tcW w:type="dxa" w:w="4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Trigger Event (Day 1)</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Build-to-Suit (BTS)</w:t>
            </w:r>
          </w:p>
        </w:tc>
        <w:tc>
          <w:tcPr>
            <w:tcW w:type="dxa" w:w="2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color w:val="C00000"/>
                <w:sz w:val="20"/>
                <w:szCs w:val="20"/>
              </w:rPr>
              <w:t xml:space="preserve">120 calendar days</w:t>
            </w:r>
          </w:p>
        </w:tc>
        <w:tc>
          <w:tcPr>
            <w:tcW w:type="dxa" w:w="4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Operator's issuance of approved TSSR (Clause 3.2(f))</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Ready-to-Build (RTB)</w:t>
            </w:r>
          </w:p>
        </w:tc>
        <w:tc>
          <w:tcPr>
            <w:tcW w:type="dxa" w:w="2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color w:val="C00000"/>
                <w:sz w:val="20"/>
                <w:szCs w:val="20"/>
              </w:rPr>
              <w:t xml:space="preserve">85 calendar days</w:t>
            </w:r>
          </w:p>
        </w:tc>
        <w:tc>
          <w:tcPr>
            <w:tcW w:type="dxa" w:w="4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Expiration of the 15-day Deed of Assignment execution period (Clause 3.2(j))</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Colocation</w:t>
            </w:r>
          </w:p>
        </w:tc>
        <w:tc>
          <w:tcPr>
            <w:tcW w:type="dxa" w:w="2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color w:val="C00000"/>
                <w:sz w:val="20"/>
                <w:szCs w:val="20"/>
              </w:rPr>
              <w:t xml:space="preserve">30 calendar days</w:t>
            </w:r>
          </w:p>
        </w:tc>
        <w:tc>
          <w:tcPr>
            <w:tcW w:type="dxa" w:w="4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Execution date of the applicable Site License (Clause 3.3(c))</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8"/>
              <w:left w:val="single" w:color="C00000" w:sz="4"/>
              <w:bottom w:val="single" w:color="C00000" w:sz="4"/>
              <w:right w:val="single" w:color="C00000" w:sz="4"/>
            </w:tcBorders>
            <w:shd w:fill="F2F2F2" w:val="clear"/>
            <w:tcMar>
              <w:top w:type="dxa" w:w="160"/>
              <w:left w:type="dxa" w:w="200"/>
              <w:bottom w:type="dxa" w:w="160"/>
              <w:right w:type="dxa" w:w="200"/>
            </w:tcMar>
          </w:tcPr>
          <w:p>
            <w:pPr>
              <w:spacing w:after="80"/>
            </w:pPr>
            <w:r>
              <w:rPr>
                <w:rFonts w:ascii="Arial" w:cs="Arial" w:eastAsia="Arial" w:hAnsi="Arial"/>
                <w:b/>
                <w:bCs/>
                <w:color w:val="C00000"/>
                <w:sz w:val="22"/>
                <w:szCs w:val="22"/>
              </w:rPr>
              <w:t xml:space="preserve">PENALTY EXPOSURE — MLA Clause 3.6(a)</w:t>
            </w:r>
          </w:p>
          <w:p>
            <w:pPr>
              <w:spacing w:after="60"/>
            </w:pPr>
            <w:r>
              <w:rPr>
                <w:rFonts w:ascii="Arial" w:cs="Arial" w:eastAsia="Arial" w:hAnsi="Arial"/>
                <w:sz w:val="20"/>
                <w:szCs w:val="20"/>
              </w:rPr>
              <w:t xml:space="preserve">If TowerCo fails to Complete a Site within the Delivery Period (as adjusted for approved Delay Extension Periods), the Operator is entitled to liquidated damages equivalent to the Base Lease Fee that would have been payable, pro-rated daily from end of Delivery Period until actual Completion. Paid as a credit note within 15 Working Days of written demand and applied against future Lease Fees per Clause 7 set-off provisions.</w:t>
            </w:r>
          </w:p>
        </w:tc>
      </w:tr>
    </w:tbl>
    <w:p>
      <w:pPr>
        <w:pStyle w:val="Heading2"/>
        <w:spacing w:after="180" w:before="240"/>
      </w:pPr>
      <w:r>
        <w:rPr>
          <w:rFonts w:ascii="Arial" w:cs="Arial" w:eastAsia="Arial" w:hAnsi="Arial"/>
        </w:rPr>
        <w:t xml:space="preserve">1.3 Reality Check — Baseline Performance</w:t>
      </w:r>
    </w:p>
    <w:p>
      <w:pPr>
        <w:spacing w:after="120" w:before="0"/>
      </w:pPr>
      <w:r>
        <w:rPr>
          <w:rFonts w:ascii="Arial" w:cs="Arial" w:eastAsia="Arial" w:hAnsi="Arial"/>
        </w:rPr>
        <w:t xml:space="preserve">Historical Build SLA (Award to RFI), based on the WK3 PMO and Budget Workshop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Region</w:t>
            </w:r>
          </w:p>
        </w:tc>
        <w:tc>
          <w:tcPr>
            <w:tcW w:type="dxa" w:w="15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Sites</w:t>
            </w:r>
          </w:p>
        </w:tc>
        <w:tc>
          <w:tcPr>
            <w:tcW w:type="dxa" w:w="15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Avg SLA</w:t>
            </w:r>
          </w:p>
        </w:tc>
        <w:tc>
          <w:tcPr>
            <w:tcW w:type="dxa" w:w="45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Best / Worst</w:t>
            </w:r>
          </w:p>
        </w:tc>
      </w:tr>
      <w:tr>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North Luzon (NLZ)</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102</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color w:val="C00000"/>
                <w:sz w:val="20"/>
                <w:szCs w:val="20"/>
              </w:rPr>
              <w:t xml:space="preserve">443 days</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110 days (best) / 1,261 days (worst)</w:t>
            </w:r>
          </w:p>
        </w:tc>
      </w:tr>
      <w:tr>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South Luzon (SLZ)</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83</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color w:val="C00000"/>
                <w:sz w:val="20"/>
                <w:szCs w:val="20"/>
              </w:rPr>
              <w:t xml:space="preserve">467 days</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113 days / 1,149 days</w:t>
            </w:r>
          </w:p>
        </w:tc>
      </w:tr>
      <w:tr>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Visayas (VIS)</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39</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color w:val="C00000"/>
                <w:sz w:val="20"/>
                <w:szCs w:val="20"/>
              </w:rPr>
              <w:t xml:space="preserve">582 days</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164 days / 1,277 days</w:t>
            </w:r>
          </w:p>
        </w:tc>
      </w:tr>
      <w:tr>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Mindanao (MIN)</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37</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color w:val="C00000"/>
                <w:sz w:val="20"/>
                <w:szCs w:val="20"/>
              </w:rPr>
              <w:t xml:space="preserve">597 days</w:t>
            </w:r>
          </w:p>
        </w:tc>
        <w:tc>
          <w:tcPr>
            <w:tcW w:type="dxa" w:w="4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241 days / 1,269 days</w:t>
            </w:r>
          </w:p>
        </w:tc>
      </w:tr>
      <w:tr>
        <w:tc>
          <w:tcPr>
            <w:tcW w:type="dxa" w:w="18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WEIGHTED AVERAGE</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287</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color w:val="C00000"/>
                <w:sz w:val="20"/>
                <w:szCs w:val="20"/>
              </w:rPr>
              <w:t xml:space="preserve">491 days</w:t>
            </w:r>
          </w:p>
        </w:tc>
        <w:tc>
          <w:tcPr>
            <w:tcW w:type="dxa" w:w="456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4.1x the 120-day MLA target</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Top root causes (from PMO retrospectives):</w:t>
      </w:r>
    </w:p>
    <w:p>
      <w:pPr>
        <w:pStyle w:val="ListParagraph"/>
        <w:numPr>
          <w:ilvl w:val="0"/>
          <w:numId w:val="2"/>
        </w:numPr>
        <w:spacing w:after="60"/>
      </w:pPr>
      <w:r>
        <w:rPr>
          <w:rFonts w:ascii="Arial" w:cs="Arial" w:eastAsia="Arial" w:hAnsi="Arial"/>
          <w:sz w:val="22"/>
          <w:szCs w:val="22"/>
        </w:rPr>
        <w:t xml:space="preserve">SAQ-side: Land owner negotiations, LGU permitting (inconsistent/political), community/social acceptability, ROW access disputes.</w:t>
      </w:r>
    </w:p>
    <w:p>
      <w:pPr>
        <w:pStyle w:val="ListParagraph"/>
        <w:numPr>
          <w:ilvl w:val="0"/>
          <w:numId w:val="2"/>
        </w:numPr>
        <w:spacing w:after="60"/>
      </w:pPr>
      <w:r>
        <w:rPr>
          <w:rFonts w:ascii="Arial" w:cs="Arial" w:eastAsia="Arial" w:hAnsi="Arial"/>
          <w:sz w:val="22"/>
          <w:szCs w:val="22"/>
        </w:rPr>
        <w:t xml:space="preserve">CME-side: Site accessibility &amp; terrain (water table), inter-island logistics, weather (rain/flooding), high-risk areas.</w:t>
      </w:r>
    </w:p>
    <w:p>
      <w:pPr>
        <w:pStyle w:val="ListParagraph"/>
        <w:numPr>
          <w:ilvl w:val="0"/>
          <w:numId w:val="2"/>
        </w:numPr>
        <w:spacing w:after="60"/>
      </w:pPr>
      <w:r>
        <w:rPr>
          <w:rFonts w:ascii="Arial" w:cs="Arial" w:eastAsia="Arial" w:hAnsi="Arial"/>
          <w:sz w:val="22"/>
          <w:szCs w:val="22"/>
        </w:rPr>
        <w:t xml:space="preserve">Power-side: Permanent power transition stall — sites stuck "Civil Works Completed – No Power" awaiting electric coop application, joint ROW clearing, or temp-to-perm conversion.</w:t>
      </w:r>
    </w:p>
    <w:p>
      <w:pPr>
        <w:pStyle w:val="Heading2"/>
        <w:spacing w:after="180" w:before="240"/>
      </w:pPr>
      <w:r>
        <w:rPr>
          <w:rFonts w:ascii="Arial" w:cs="Arial" w:eastAsia="Arial" w:hAnsi="Arial"/>
        </w:rPr>
        <w:t xml:space="preserve">1.4 The 120-Day Master Timeline — Target Plan-of-Record</w:t>
      </w:r>
    </w:p>
    <w:p>
      <w:pPr>
        <w:spacing w:after="120" w:before="0"/>
      </w:pPr>
      <w:r>
        <w:rPr>
          <w:rFonts w:ascii="Arial" w:cs="Arial" w:eastAsia="Arial" w:hAnsi="Arial"/>
        </w:rPr>
        <w:t xml:space="preserve">Reconciliation of MLA, ATC Rollout Framework v2, and PMO operating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100"/>
        <w:gridCol w:w="2460"/>
      </w:tblGrid>
      <w:tr>
        <w:tc>
          <w:tcPr>
            <w:tcW w:type="dxa" w:w="9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Day</w:t>
            </w:r>
          </w:p>
        </w:tc>
        <w:tc>
          <w:tcPr>
            <w:tcW w:type="dxa" w:w="21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Phase</w:t>
            </w:r>
          </w:p>
        </w:tc>
        <w:tc>
          <w:tcPr>
            <w:tcW w:type="dxa" w:w="1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Owner</w:t>
            </w:r>
          </w:p>
        </w:tc>
        <w:tc>
          <w:tcPr>
            <w:tcW w:type="dxa" w:w="21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Key Deliverable</w:t>
            </w:r>
          </w:p>
        </w:tc>
        <w:tc>
          <w:tcPr>
            <w:tcW w:type="dxa" w:w="2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Control Gate</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D0</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Endorsement &amp; Planning</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BD / PMO</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Endorsement Letter; TCO ID created</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Tracker enrolment</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D1–D8</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Site Hunting</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Hunting Report (≥3 candidates)</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Within Search Ring? PSH gate</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D9–D11</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TSSR Creation &amp; Review</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 Engineering</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TSSR (Sched 4, Part D)</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Engineering Approval</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D12–D20</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TSSR MNO Approval</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(5+10 WD per Cl. 3.2(e))</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Approved TSSR</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color w:val="C00000"/>
                <w:sz w:val="20"/>
                <w:szCs w:val="20"/>
              </w:rPr>
              <w:t xml:space="preserve">DAY 1 OF DELIVERY PERIOD</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D21–D28</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MOC + COL Securing</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Signed MOC, COL, Neighbors Consent</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eLAS IRR Pass + MNO Approval</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D29–D45</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Pre-Construction</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Engineering</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SBT, SI, Lot Seg, DDD, BOQ</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VO Approval (if any)</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D46–D75</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Permitting</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Locational, Building Permit, RTB Decl.</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Risk Build authorization gate</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D76</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SKOM / Mobilization</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CME</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SKOM Report, CSHP filed</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CSHP DOLE acknowledgement</w:t>
            </w:r>
          </w:p>
        </w:tc>
      </w:tr>
      <w:tr>
        <w:tc>
          <w:tcPr>
            <w:tcW w:type="dxa" w:w="9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D77–D120</w:t>
            </w:r>
          </w:p>
        </w:tc>
        <w:tc>
          <w:tcPr>
            <w:tcW w:type="dxa" w:w="2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Construction + Energization</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CME + Power</w:t>
            </w:r>
          </w:p>
        </w:tc>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RFTI CW Report, DC Install, RFI Cert</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color w:val="548235"/>
                <w:sz w:val="20"/>
                <w:szCs w:val="20"/>
              </w:rPr>
              <w:t xml:space="preserve">RFI Certificate (Sched 4, Part F)</w:t>
            </w:r>
          </w:p>
        </w:tc>
      </w:tr>
    </w:tbl>
    <w:p>
      <w:pPr>
        <w:spacing w:after="120" w:before="0"/>
      </w:pPr>
      <w:r>
        <w:rPr>
          <w:rFonts w:ascii="Arial" w:cs="Arial" w:eastAsia="Arial" w:hAnsi="Arial"/>
        </w:rPr>
        <w:t xml:space="preserve"/>
      </w:r>
    </w:p>
    <w:p>
      <w:pPr>
        <w:pStyle w:val="Heading2"/>
        <w:spacing w:after="180" w:before="240"/>
      </w:pPr>
      <w:r>
        <w:rPr>
          <w:rFonts w:ascii="Arial" w:cs="Arial" w:eastAsia="Arial" w:hAnsi="Arial"/>
        </w:rPr>
        <w:t xml:space="preserve">1.5 RA 12234 (Konektadong Pinoy Act, 2025) — Regulatory Tailwind</w:t>
      </w:r>
    </w:p>
    <w:p>
      <w:pPr>
        <w:spacing w:after="80" w:before="0"/>
      </w:pPr>
      <w:r>
        <w:rPr>
          <w:rFonts w:ascii="Arial" w:cs="Arial" w:eastAsia="Arial" w:hAnsi="Arial"/>
        </w:rPr>
        <w:t xml:space="preserve">Passed 24 August 2025, RA 12234 strengthens TowerCo's operating environment in three material ways:</w:t>
      </w:r>
    </w:p>
    <w:p>
      <w:pPr>
        <w:pStyle w:val="ListParagraph"/>
        <w:numPr>
          <w:ilvl w:val="0"/>
          <w:numId w:val="2"/>
        </w:numPr>
        <w:spacing w:after="60"/>
      </w:pPr>
      <w:r>
        <w:rPr>
          <w:rFonts w:ascii="Arial" w:cs="Arial" w:eastAsia="Arial" w:hAnsi="Arial"/>
          <w:sz w:val="22"/>
          <w:szCs w:val="22"/>
        </w:rPr>
        <w:t xml:space="preserve">Open-access policy with mandated infrastructure sharing — co-location requests from registered DTIPs cannot be unreasonably refused once on the Access List.</w:t>
      </w:r>
    </w:p>
    <w:p>
      <w:pPr>
        <w:pStyle w:val="ListParagraph"/>
        <w:numPr>
          <w:ilvl w:val="0"/>
          <w:numId w:val="2"/>
        </w:numPr>
        <w:spacing w:after="60"/>
      </w:pPr>
      <w:r>
        <w:rPr>
          <w:rFonts w:ascii="Arial" w:cs="Arial" w:eastAsia="Arial" w:hAnsi="Arial"/>
          <w:sz w:val="22"/>
          <w:szCs w:val="22"/>
        </w:rPr>
        <w:t xml:space="preserve">Dig Once Policy — coordinated trenching with other DTIPs and LGUs reduces re-excavation costs and supports ROW clearance escalations.</w:t>
      </w:r>
    </w:p>
    <w:p>
      <w:pPr>
        <w:pStyle w:val="ListParagraph"/>
        <w:numPr>
          <w:ilvl w:val="0"/>
          <w:numId w:val="2"/>
        </w:numPr>
        <w:spacing w:after="60"/>
      </w:pPr>
      <w:r>
        <w:rPr>
          <w:rFonts w:ascii="Arial" w:cs="Arial" w:eastAsia="Arial" w:hAnsi="Arial"/>
          <w:sz w:val="22"/>
          <w:szCs w:val="22"/>
        </w:rPr>
        <w:t xml:space="preserve">DICT empowered to coordinate with LGUs for incentives and faster permit issuance, especially in unserved/underserved areas. SAQ teams should cite RA 12234 §6(f) and §6(h) when escalating LGU stonewalls in areas the DICT has flagged.</w:t>
      </w:r>
    </w:p>
    <w:p>
      <w:pPr>
        <w:pStyle w:val="Heading1"/>
        <w:pageBreakBefore/>
        <w:spacing w:after="240" w:before="240"/>
      </w:pPr>
      <w:r>
        <w:rPr>
          <w:rFonts w:ascii="Arial" w:cs="Arial" w:eastAsia="Arial" w:hAnsi="Arial"/>
        </w:rPr>
        <w:t xml:space="preserve">2. Engineering — Site Acquisition (SAQ) Manager</w:t>
      </w:r>
    </w:p>
    <w:p>
      <w:pPr>
        <w:pStyle w:val="Heading2"/>
        <w:spacing w:after="180" w:before="240"/>
      </w:pPr>
      <w:r>
        <w:rPr>
          <w:rFonts w:ascii="Arial" w:cs="Arial" w:eastAsia="Arial" w:hAnsi="Arial"/>
        </w:rPr>
        <w:t xml:space="preserve">2.1 Scope &amp; Mandate</w:t>
      </w:r>
    </w:p>
    <w:p>
      <w:pPr>
        <w:spacing w:after="120" w:before="0"/>
      </w:pPr>
      <w:r>
        <w:rPr>
          <w:rFonts w:ascii="Arial" w:cs="Arial" w:eastAsia="Arial" w:hAnsi="Arial"/>
        </w:rPr>
        <w:t xml:space="preserve">The SAQ Manager owns the site from Endorsement through RTB declaration, accountable for: candidate identification, TSSR delivery (Schedule 4 Part D-compliant), lease execution (MOC, COL, eLAS), and all LGU/HOA/neighbor clearances. The SAQ Manager is the named owner of Days 1–75 in the master timeline and is the primary escalation node for the Problematic Site Handling (PSH) protocol.</w:t>
      </w:r>
    </w:p>
    <w:p>
      <w:pPr>
        <w:pStyle w:val="Heading2"/>
        <w:spacing w:after="180" w:before="240"/>
      </w:pPr>
      <w:r>
        <w:rPr>
          <w:rFonts w:ascii="Arial" w:cs="Arial" w:eastAsia="Arial" w:hAnsi="Arial"/>
        </w:rPr>
        <w:t xml:space="preserve">2.2 Site Hunting Checklist</w:t>
      </w:r>
    </w:p>
    <w:p>
      <w:pPr>
        <w:spacing w:after="120" w:before="0"/>
      </w:pPr>
      <w:r>
        <w:rPr>
          <w:rFonts w:ascii="Arial" w:cs="Arial" w:eastAsia="Arial" w:hAnsi="Arial"/>
          <w:i/>
          <w:iCs/>
        </w:rPr>
        <w:t xml:space="preserve">Per MLA Clause 3.2(c): TowerCo shall propose viable candidate sites within the corresponding Search Ring within 2 weeks to 1 month of Endorsement Letter acceptance. Provide ONE pre-negotiated Site Candidate plus ONE nominal option within 10 Working Days if the initial candidate is rejected.</w:t>
      </w:r>
    </w:p>
    <w:p>
      <w:pPr>
        <w:pStyle w:val="Heading3"/>
        <w:spacing w:after="120" w:before="180"/>
      </w:pPr>
      <w:r>
        <w:rPr>
          <w:rFonts w:ascii="Arial" w:cs="Arial" w:eastAsia="Arial" w:hAnsi="Arial"/>
        </w:rPr>
        <w:t xml:space="preserve">Pre-Deployment (Office-Based)</w:t>
      </w:r>
    </w:p>
    <w:p>
      <w:pPr>
        <w:spacing w:after="60"/>
        <w:ind w:left="360"/>
      </w:pPr>
      <w:r>
        <w:rPr>
          <w:rFonts w:ascii="Arial" w:cs="Arial" w:eastAsia="Arial" w:hAnsi="Arial"/>
          <w:sz w:val="22"/>
          <w:szCs w:val="22"/>
        </w:rPr>
        <w:t xml:space="preserve">☐  Endorsement Letter received and enrolled in Master Site Tracker (TCO ID generated).</w:t>
      </w:r>
    </w:p>
    <w:p>
      <w:pPr>
        <w:spacing w:after="60"/>
        <w:ind w:left="360"/>
      </w:pPr>
      <w:r>
        <w:rPr>
          <w:rFonts w:ascii="Arial" w:cs="Arial" w:eastAsia="Arial" w:hAnsi="Arial"/>
          <w:sz w:val="22"/>
          <w:szCs w:val="22"/>
        </w:rPr>
        <w:t xml:space="preserve">☐  Search Ring (SR) coordinates / polygon map and target coverage objectives confirmed by RF.</w:t>
      </w:r>
    </w:p>
    <w:p>
      <w:pPr>
        <w:spacing w:after="60"/>
        <w:ind w:left="360"/>
      </w:pPr>
      <w:r>
        <w:rPr>
          <w:rFonts w:ascii="Arial" w:cs="Arial" w:eastAsia="Arial" w:hAnsi="Arial"/>
          <w:sz w:val="22"/>
          <w:szCs w:val="22"/>
        </w:rPr>
        <w:t xml:space="preserve">☐  Specifications sheet (Schedule 4 Part B) reviewed — tower type, height range, wind zone, design load.</w:t>
      </w:r>
    </w:p>
    <w:p>
      <w:pPr>
        <w:spacing w:after="60"/>
        <w:ind w:left="360"/>
      </w:pPr>
      <w:r>
        <w:rPr>
          <w:rFonts w:ascii="Arial" w:cs="Arial" w:eastAsia="Arial" w:hAnsi="Arial"/>
          <w:sz w:val="22"/>
          <w:szCs w:val="22"/>
        </w:rPr>
        <w:t xml:space="preserve">☐  Desktop scan complete: Google Earth, cadastral overlay, existing TowerCo asset map (for colocation feasibility), DAR/CAR exclusions, NIPAS / protected area overlay, flood-prone overlay (Project NOAH).</w:t>
      </w:r>
    </w:p>
    <w:p>
      <w:pPr>
        <w:spacing w:after="60"/>
        <w:ind w:left="360"/>
      </w:pPr>
      <w:r>
        <w:rPr>
          <w:rFonts w:ascii="Arial" w:cs="Arial" w:eastAsia="Arial" w:hAnsi="Arial"/>
          <w:sz w:val="22"/>
          <w:szCs w:val="22"/>
        </w:rPr>
        <w:t xml:space="preserve">☐  Site Hunting Team mobilized with TSSR draft template, GPS device (calibrated), camera with geotag, panorama tripod.</w:t>
      </w:r>
    </w:p>
    <w:p>
      <w:pPr>
        <w:pStyle w:val="Heading3"/>
        <w:spacing w:after="120" w:before="180"/>
      </w:pPr>
      <w:r>
        <w:rPr>
          <w:rFonts w:ascii="Arial" w:cs="Arial" w:eastAsia="Arial" w:hAnsi="Arial"/>
        </w:rPr>
        <w:t xml:space="preserve">Field Deployment</w:t>
      </w:r>
    </w:p>
    <w:p>
      <w:pPr>
        <w:spacing w:after="60"/>
        <w:ind w:left="360"/>
      </w:pPr>
      <w:r>
        <w:rPr>
          <w:rFonts w:ascii="Arial" w:cs="Arial" w:eastAsia="Arial" w:hAnsi="Arial"/>
          <w:sz w:val="22"/>
          <w:szCs w:val="22"/>
        </w:rPr>
        <w:t xml:space="preserve">☐  Minimum THREE viable candidates physically scouted (MLA redundancy requirement).</w:t>
      </w:r>
    </w:p>
    <w:p>
      <w:pPr>
        <w:spacing w:after="60"/>
        <w:ind w:left="360"/>
      </w:pPr>
      <w:r>
        <w:rPr>
          <w:rFonts w:ascii="Arial" w:cs="Arial" w:eastAsia="Arial" w:hAnsi="Arial"/>
          <w:sz w:val="22"/>
          <w:szCs w:val="22"/>
        </w:rPr>
        <w:t xml:space="preserve">☐  Each candidate has lot coordinates captured (Lat/Long, decimal degrees, ≥5 decimal precision).</w:t>
      </w:r>
    </w:p>
    <w:p>
      <w:pPr>
        <w:spacing w:after="60"/>
        <w:ind w:left="360"/>
      </w:pPr>
      <w:r>
        <w:rPr>
          <w:rFonts w:ascii="Arial" w:cs="Arial" w:eastAsia="Arial" w:hAnsi="Arial"/>
          <w:sz w:val="22"/>
          <w:szCs w:val="22"/>
        </w:rPr>
        <w:t xml:space="preserve">☐  Preliminary lessor interview conducted; verbal indication of willingness at rate within Sched 2 lease fee schedule.</w:t>
      </w:r>
    </w:p>
    <w:p>
      <w:pPr>
        <w:spacing w:after="60"/>
        <w:ind w:left="360"/>
      </w:pPr>
      <w:r>
        <w:rPr>
          <w:rFonts w:ascii="Arial" w:cs="Arial" w:eastAsia="Arial" w:hAnsi="Arial"/>
          <w:sz w:val="22"/>
          <w:szCs w:val="22"/>
        </w:rPr>
        <w:t xml:space="preserve">☐  Photos: site front, all four cardinal directions, panoramic from highest accessible elevation (0°/30°/60°/90°/120°/150°/180°/210°/240°/270°/300°/330°), nearest commercial power tapping point, road access from main road to gate.</w:t>
      </w:r>
    </w:p>
    <w:p>
      <w:pPr>
        <w:spacing w:after="60"/>
        <w:ind w:left="360"/>
      </w:pPr>
      <w:r>
        <w:rPr>
          <w:rFonts w:ascii="Arial" w:cs="Arial" w:eastAsia="Arial" w:hAnsi="Arial"/>
          <w:sz w:val="22"/>
          <w:szCs w:val="22"/>
        </w:rPr>
        <w:t xml:space="preserve">☐  Commercial power tapping point identified; distance to nearest secondary line (Service Entrance → existing pole) measured; distance from existing pole → existing transformer measured; primary line distance estimated; pole count estimated; serving electric utility/cooperative named.</w:t>
      </w:r>
    </w:p>
    <w:p>
      <w:pPr>
        <w:spacing w:after="60"/>
        <w:ind w:left="360"/>
      </w:pPr>
      <w:r>
        <w:rPr>
          <w:rFonts w:ascii="Arial" w:cs="Arial" w:eastAsia="Arial" w:hAnsi="Arial"/>
          <w:sz w:val="22"/>
          <w:szCs w:val="22"/>
        </w:rPr>
        <w:t xml:space="preserve">☐  Right-of-Way (ROW) access verified — width, surface type, ownership of access path, weight-bearing capacity for crane/boom truck mobilization.</w:t>
      </w:r>
    </w:p>
    <w:p>
      <w:pPr>
        <w:spacing w:after="60"/>
        <w:ind w:left="360"/>
      </w:pPr>
      <w:r>
        <w:rPr>
          <w:rFonts w:ascii="Arial" w:cs="Arial" w:eastAsia="Arial" w:hAnsi="Arial"/>
          <w:sz w:val="22"/>
          <w:szCs w:val="22"/>
        </w:rPr>
        <w:t xml:space="preserve">☐  Hazard scan: distance from shoreline, flood history (asked of lessor + 2 neighbors), peace-and-order situation noted.</w:t>
      </w:r>
    </w:p>
    <w:p>
      <w:pPr>
        <w:pStyle w:val="Heading3"/>
        <w:spacing w:after="120" w:before="180"/>
      </w:pPr>
      <w:r>
        <w:rPr>
          <w:rFonts w:ascii="Arial" w:cs="Arial" w:eastAsia="Arial" w:hAnsi="Arial"/>
        </w:rPr>
        <w:t xml:space="preserve">Daily Reporting &amp; Handover to TSSR</w:t>
      </w:r>
    </w:p>
    <w:p>
      <w:pPr>
        <w:spacing w:after="60"/>
        <w:ind w:left="360"/>
      </w:pPr>
      <w:r>
        <w:rPr>
          <w:rFonts w:ascii="Arial" w:cs="Arial" w:eastAsia="Arial" w:hAnsi="Arial"/>
          <w:sz w:val="22"/>
          <w:szCs w:val="22"/>
        </w:rPr>
        <w:t xml:space="preserve">☐  Daily Site Hunting Report submitted EOD to SAQ Lead AND Engineering (see Template §2.6).</w:t>
      </w:r>
    </w:p>
    <w:p>
      <w:pPr>
        <w:spacing w:after="60"/>
        <w:ind w:left="360"/>
      </w:pPr>
      <w:r>
        <w:rPr>
          <w:rFonts w:ascii="Arial" w:cs="Arial" w:eastAsia="Arial" w:hAnsi="Arial"/>
          <w:sz w:val="22"/>
          <w:szCs w:val="22"/>
        </w:rPr>
        <w:t xml:space="preserve">☐  Pre-assessment Approval obtained from SAQ Lead before TSSR creation begins.</w:t>
      </w:r>
    </w:p>
    <w:p>
      <w:pPr>
        <w:spacing w:after="60"/>
        <w:ind w:left="360"/>
      </w:pPr>
      <w:r>
        <w:rPr>
          <w:rFonts w:ascii="Arial" w:cs="Arial" w:eastAsia="Arial" w:hAnsi="Arial"/>
          <w:sz w:val="22"/>
          <w:szCs w:val="22"/>
        </w:rPr>
        <w:t xml:space="preserve">☐  If NO viable candidates within SR after best-effort scout: PSH escalation triggered same day (do not wait).</w:t>
      </w:r>
    </w:p>
    <w:p>
      <w:pPr>
        <w:pStyle w:val="Heading2"/>
        <w:spacing w:after="180" w:before="240"/>
      </w:pPr>
      <w:r>
        <w:rPr>
          <w:rFonts w:ascii="Arial" w:cs="Arial" w:eastAsia="Arial" w:hAnsi="Arial"/>
        </w:rPr>
        <w:t xml:space="preserve">2.3 TSSR Checklist — MLA Schedule 4 Part D Compliance</w:t>
      </w:r>
    </w:p>
    <w:p>
      <w:pPr>
        <w:spacing w:after="120" w:before="0"/>
      </w:pPr>
      <w:r>
        <w:rPr>
          <w:rFonts w:ascii="Arial" w:cs="Arial" w:eastAsia="Arial" w:hAnsi="Arial"/>
          <w:i/>
          <w:iCs/>
        </w:rPr>
        <w:t xml:space="preserve">The TSSR is the legal instrument that triggers Day 1 of the 120-day Delivery Period upon MNO approval. Incomplete or non-Schedule-4 TSSRs are rejected and reset the clock.</w:t>
      </w:r>
    </w:p>
    <w:p>
      <w:pPr>
        <w:pStyle w:val="Heading3"/>
        <w:spacing w:after="120" w:before="180"/>
      </w:pPr>
      <w:r>
        <w:rPr>
          <w:rFonts w:ascii="Arial" w:cs="Arial" w:eastAsia="Arial" w:hAnsi="Arial"/>
        </w:rPr>
        <w:t xml:space="preserve">A. General Information (Mandatory Fields)</w:t>
      </w:r>
    </w:p>
    <w:p>
      <w:pPr>
        <w:spacing w:after="60"/>
        <w:ind w:left="360"/>
      </w:pPr>
      <w:r>
        <w:rPr>
          <w:rFonts w:ascii="Arial" w:cs="Arial" w:eastAsia="Arial" w:hAnsi="Arial"/>
          <w:sz w:val="22"/>
          <w:szCs w:val="22"/>
        </w:rPr>
        <w:t xml:space="preserve">☐  Site Name, Site ID, Site Address completed.</w:t>
      </w:r>
    </w:p>
    <w:p>
      <w:pPr>
        <w:spacing w:after="60"/>
        <w:ind w:left="360"/>
      </w:pPr>
      <w:r>
        <w:rPr>
          <w:rFonts w:ascii="Arial" w:cs="Arial" w:eastAsia="Arial" w:hAnsi="Arial"/>
          <w:sz w:val="22"/>
          <w:szCs w:val="22"/>
        </w:rPr>
        <w:t xml:space="preserve">☐  Option Name, Search Ring Name, Longitude, Latitude (decimal degrees), Ground Elevation (m).</w:t>
      </w:r>
    </w:p>
    <w:p>
      <w:pPr>
        <w:spacing w:after="60"/>
        <w:ind w:left="360"/>
      </w:pPr>
      <w:r>
        <w:rPr>
          <w:rFonts w:ascii="Arial" w:cs="Arial" w:eastAsia="Arial" w:hAnsi="Arial"/>
          <w:sz w:val="22"/>
          <w:szCs w:val="22"/>
        </w:rPr>
        <w:t xml:space="preserve">☐  BTS Type, Date Surveyed, Property Name, Property Address, Area Type.</w:t>
      </w:r>
    </w:p>
    <w:p>
      <w:pPr>
        <w:spacing w:after="60"/>
        <w:ind w:left="360"/>
      </w:pPr>
      <w:r>
        <w:rPr>
          <w:rFonts w:ascii="Arial" w:cs="Arial" w:eastAsia="Arial" w:hAnsi="Arial"/>
          <w:sz w:val="22"/>
          <w:szCs w:val="22"/>
        </w:rPr>
        <w:t xml:space="preserve">☐  Wind Zone confirmed per Philippine Wind Map (Zone I, II, or III).</w:t>
      </w:r>
    </w:p>
    <w:p>
      <w:pPr>
        <w:spacing w:after="60"/>
        <w:ind w:left="360"/>
      </w:pPr>
      <w:r>
        <w:rPr>
          <w:rFonts w:ascii="Arial" w:cs="Arial" w:eastAsia="Arial" w:hAnsi="Arial"/>
          <w:sz w:val="22"/>
          <w:szCs w:val="22"/>
        </w:rPr>
        <w:t xml:space="preserve">☐  Vicinity Map: Google Map embedded with gate location, ROW, lot area, site orientation/elevation captioned.</w:t>
      </w:r>
    </w:p>
    <w:p>
      <w:pPr>
        <w:pStyle w:val="Heading3"/>
        <w:spacing w:after="120" w:before="180"/>
      </w:pPr>
      <w:r>
        <w:rPr>
          <w:rFonts w:ascii="Arial" w:cs="Arial" w:eastAsia="Arial" w:hAnsi="Arial"/>
        </w:rPr>
        <w:t xml:space="preserve">B. Site Survey Report</w:t>
      </w:r>
    </w:p>
    <w:p>
      <w:pPr>
        <w:spacing w:after="60"/>
        <w:ind w:left="360"/>
      </w:pPr>
      <w:r>
        <w:rPr>
          <w:rFonts w:ascii="Arial" w:cs="Arial" w:eastAsia="Arial" w:hAnsi="Arial"/>
          <w:sz w:val="22"/>
          <w:szCs w:val="22"/>
        </w:rPr>
        <w:t xml:space="preserve">☐  Distance from shoreline (km) — critical for corrosion class.</w:t>
      </w:r>
    </w:p>
    <w:p>
      <w:pPr>
        <w:spacing w:after="60"/>
        <w:ind w:left="360"/>
      </w:pPr>
      <w:r>
        <w:rPr>
          <w:rFonts w:ascii="Arial" w:cs="Arial" w:eastAsia="Arial" w:hAnsi="Arial"/>
          <w:sz w:val="22"/>
          <w:szCs w:val="22"/>
        </w:rPr>
        <w:t xml:space="preserve">☐  Type and Height of Structure (proposed).</w:t>
      </w:r>
    </w:p>
    <w:p>
      <w:pPr>
        <w:spacing w:after="60"/>
        <w:ind w:left="360"/>
      </w:pPr>
      <w:r>
        <w:rPr>
          <w:rFonts w:ascii="Arial" w:cs="Arial" w:eastAsia="Arial" w:hAnsi="Arial"/>
          <w:sz w:val="22"/>
          <w:szCs w:val="22"/>
        </w:rPr>
        <w:t xml:space="preserve">☐  Type of Attachment/Anchorage.</w:t>
      </w:r>
    </w:p>
    <w:p>
      <w:pPr>
        <w:spacing w:after="60"/>
        <w:ind w:left="360"/>
      </w:pPr>
      <w:r>
        <w:rPr>
          <w:rFonts w:ascii="Arial" w:cs="Arial" w:eastAsia="Arial" w:hAnsi="Arial"/>
          <w:sz w:val="22"/>
          <w:szCs w:val="22"/>
        </w:rPr>
        <w:t xml:space="preserve">☐  C1: Topographic Condition (flat / rolling / mountainous).</w:t>
      </w:r>
    </w:p>
    <w:p>
      <w:pPr>
        <w:spacing w:after="60"/>
        <w:ind w:left="360"/>
      </w:pPr>
      <w:r>
        <w:rPr>
          <w:rFonts w:ascii="Arial" w:cs="Arial" w:eastAsia="Arial" w:hAnsi="Arial"/>
          <w:sz w:val="22"/>
          <w:szCs w:val="22"/>
        </w:rPr>
        <w:t xml:space="preserve">☐  C2: If rolling/mountainous, special foundation/access requirements noted.</w:t>
      </w:r>
    </w:p>
    <w:p>
      <w:pPr>
        <w:spacing w:after="60"/>
        <w:ind w:left="360"/>
      </w:pPr>
      <w:r>
        <w:rPr>
          <w:rFonts w:ascii="Arial" w:cs="Arial" w:eastAsia="Arial" w:hAnsi="Arial"/>
          <w:sz w:val="22"/>
          <w:szCs w:val="22"/>
        </w:rPr>
        <w:t xml:space="preserve">☐  D: Type of Radio Room (shelter, outdoor cabinet, rooftop room).</w:t>
      </w:r>
    </w:p>
    <w:p>
      <w:pPr>
        <w:spacing w:after="60"/>
        <w:ind w:left="360"/>
      </w:pPr>
      <w:r>
        <w:rPr>
          <w:rFonts w:ascii="Arial" w:cs="Arial" w:eastAsia="Arial" w:hAnsi="Arial"/>
          <w:sz w:val="22"/>
          <w:szCs w:val="22"/>
        </w:rPr>
        <w:t xml:space="preserve">☐  E: Accessibility to Site (narrative + photos).</w:t>
      </w:r>
    </w:p>
    <w:p>
      <w:pPr>
        <w:pStyle w:val="Heading3"/>
        <w:spacing w:after="120" w:before="180"/>
      </w:pPr>
      <w:r>
        <w:rPr>
          <w:rFonts w:ascii="Arial" w:cs="Arial" w:eastAsia="Arial" w:hAnsi="Arial"/>
        </w:rPr>
        <w:t xml:space="preserve">F. Commercial Power Availability — Greenfield</w:t>
      </w:r>
    </w:p>
    <w:p>
      <w:pPr>
        <w:spacing w:after="60"/>
        <w:ind w:left="360"/>
      </w:pPr>
      <w:r>
        <w:rPr>
          <w:rFonts w:ascii="Arial" w:cs="Arial" w:eastAsia="Arial" w:hAnsi="Arial"/>
          <w:sz w:val="22"/>
          <w:szCs w:val="22"/>
        </w:rPr>
        <w:t xml:space="preserve">☐  Length of secondary power line tapping (Service Entrance → existing pole): _____ m.</w:t>
      </w:r>
    </w:p>
    <w:p>
      <w:pPr>
        <w:spacing w:after="60"/>
        <w:ind w:left="360"/>
      </w:pPr>
      <w:r>
        <w:rPr>
          <w:rFonts w:ascii="Arial" w:cs="Arial" w:eastAsia="Arial" w:hAnsi="Arial"/>
          <w:sz w:val="22"/>
          <w:szCs w:val="22"/>
        </w:rPr>
        <w:t xml:space="preserve">☐  Length from existing pole → existing transformer: _____ m.</w:t>
      </w:r>
    </w:p>
    <w:p>
      <w:pPr>
        <w:spacing w:after="60"/>
        <w:ind w:left="360"/>
      </w:pPr>
      <w:r>
        <w:rPr>
          <w:rFonts w:ascii="Arial" w:cs="Arial" w:eastAsia="Arial" w:hAnsi="Arial"/>
          <w:sz w:val="22"/>
          <w:szCs w:val="22"/>
        </w:rPr>
        <w:t xml:space="preserve">☐  Distance of primary line (existing transformer → primary line): _____ m.</w:t>
      </w:r>
    </w:p>
    <w:p>
      <w:pPr>
        <w:spacing w:after="60"/>
        <w:ind w:left="360"/>
      </w:pPr>
      <w:r>
        <w:rPr>
          <w:rFonts w:ascii="Arial" w:cs="Arial" w:eastAsia="Arial" w:hAnsi="Arial"/>
          <w:sz w:val="22"/>
          <w:szCs w:val="22"/>
        </w:rPr>
        <w:t xml:space="preserve">☐  Estimated number of poles @ ___m pole-to-pole spacing: _____ pcs.</w:t>
      </w:r>
    </w:p>
    <w:p>
      <w:pPr>
        <w:spacing w:after="60"/>
        <w:ind w:left="360"/>
      </w:pPr>
      <w:r>
        <w:rPr>
          <w:rFonts w:ascii="Arial" w:cs="Arial" w:eastAsia="Arial" w:hAnsi="Arial"/>
          <w:sz w:val="22"/>
          <w:szCs w:val="22"/>
        </w:rPr>
        <w:t xml:space="preserve">☐  Commercial AC supplier (Electric Company / Cooperative) named.</w:t>
      </w:r>
    </w:p>
    <w:p>
      <w:pPr>
        <w:pStyle w:val="Heading3"/>
        <w:spacing w:after="120" w:before="180"/>
      </w:pPr>
      <w:r>
        <w:rPr>
          <w:rFonts w:ascii="Arial" w:cs="Arial" w:eastAsia="Arial" w:hAnsi="Arial"/>
        </w:rPr>
        <w:t xml:space="preserve">F. Commercial Power Availability — Rooftop</w:t>
      </w:r>
    </w:p>
    <w:p>
      <w:pPr>
        <w:spacing w:after="60"/>
        <w:ind w:left="360"/>
      </w:pPr>
      <w:r>
        <w:rPr>
          <w:rFonts w:ascii="Arial" w:cs="Arial" w:eastAsia="Arial" w:hAnsi="Arial"/>
          <w:sz w:val="22"/>
          <w:szCs w:val="22"/>
        </w:rPr>
        <w:t xml:space="preserve">☐  Lessor approval of proposed meter/sub-meter location obtained in writing.</w:t>
      </w:r>
    </w:p>
    <w:p>
      <w:pPr>
        <w:spacing w:after="60"/>
        <w:ind w:left="360"/>
      </w:pPr>
      <w:r>
        <w:rPr>
          <w:rFonts w:ascii="Arial" w:cs="Arial" w:eastAsia="Arial" w:hAnsi="Arial"/>
          <w:sz w:val="22"/>
          <w:szCs w:val="22"/>
        </w:rPr>
        <w:t xml:space="preserve">☐  Required loads verified with building owner.</w:t>
      </w:r>
    </w:p>
    <w:p>
      <w:pPr>
        <w:spacing w:after="60"/>
        <w:ind w:left="360"/>
      </w:pPr>
      <w:r>
        <w:rPr>
          <w:rFonts w:ascii="Arial" w:cs="Arial" w:eastAsia="Arial" w:hAnsi="Arial"/>
          <w:sz w:val="22"/>
          <w:szCs w:val="22"/>
        </w:rPr>
        <w:t xml:space="preserve">☐  Temporary power supply route confirmed (during construction and during on-air until permanent).</w:t>
      </w:r>
    </w:p>
    <w:p>
      <w:pPr>
        <w:spacing w:after="60"/>
        <w:ind w:left="360"/>
      </w:pPr>
      <w:r>
        <w:rPr>
          <w:rFonts w:ascii="Arial" w:cs="Arial" w:eastAsia="Arial" w:hAnsi="Arial"/>
          <w:sz w:val="22"/>
          <w:szCs w:val="22"/>
        </w:rPr>
        <w:t xml:space="preserve">☐  Conceptual drawing of AC commercial tapping point attached.</w:t>
      </w:r>
    </w:p>
    <w:p>
      <w:pPr>
        <w:pStyle w:val="Heading3"/>
        <w:spacing w:after="120" w:before="180"/>
      </w:pPr>
      <w:r>
        <w:rPr>
          <w:rFonts w:ascii="Arial" w:cs="Arial" w:eastAsia="Arial" w:hAnsi="Arial"/>
        </w:rPr>
        <w:t xml:space="preserve">G–N. Site-Specific Conditions</w:t>
      </w:r>
    </w:p>
    <w:p>
      <w:pPr>
        <w:spacing w:after="60"/>
        <w:ind w:left="360"/>
      </w:pPr>
      <w:r>
        <w:rPr>
          <w:rFonts w:ascii="Arial" w:cs="Arial" w:eastAsia="Arial" w:hAnsi="Arial"/>
          <w:sz w:val="22"/>
          <w:szCs w:val="22"/>
        </w:rPr>
        <w:t xml:space="preserve">☐  G: Earthing for rooftop — ground rod / test pit location agreed with lessor; cable route approved.</w:t>
      </w:r>
    </w:p>
    <w:p>
      <w:pPr>
        <w:spacing w:after="60"/>
        <w:ind w:left="360"/>
      </w:pPr>
      <w:r>
        <w:rPr>
          <w:rFonts w:ascii="Arial" w:cs="Arial" w:eastAsia="Arial" w:hAnsi="Arial"/>
          <w:sz w:val="22"/>
          <w:szCs w:val="22"/>
        </w:rPr>
        <w:t xml:space="preserve">☐  H: Drainage system location on conceptual drawing (greenfield).</w:t>
      </w:r>
    </w:p>
    <w:p>
      <w:pPr>
        <w:spacing w:after="60"/>
        <w:ind w:left="360"/>
      </w:pPr>
      <w:r>
        <w:rPr>
          <w:rFonts w:ascii="Arial" w:cs="Arial" w:eastAsia="Arial" w:hAnsi="Arial"/>
          <w:sz w:val="22"/>
          <w:szCs w:val="22"/>
        </w:rPr>
        <w:t xml:space="preserve">☐  I: Obstructions during erection identified (overhead lines, trees, structures).</w:t>
      </w:r>
    </w:p>
    <w:p>
      <w:pPr>
        <w:spacing w:after="60"/>
        <w:ind w:left="360"/>
      </w:pPr>
      <w:r>
        <w:rPr>
          <w:rFonts w:ascii="Arial" w:cs="Arial" w:eastAsia="Arial" w:hAnsi="Arial"/>
          <w:sz w:val="22"/>
          <w:szCs w:val="22"/>
        </w:rPr>
        <w:t xml:space="preserve">☐  J: Flood history captured from lessor and 2+ neighbors, with road reference.</w:t>
      </w:r>
    </w:p>
    <w:p>
      <w:pPr>
        <w:spacing w:after="60"/>
        <w:ind w:left="360"/>
      </w:pPr>
      <w:r>
        <w:rPr>
          <w:rFonts w:ascii="Arial" w:cs="Arial" w:eastAsia="Arial" w:hAnsi="Arial"/>
          <w:sz w:val="22"/>
          <w:szCs w:val="22"/>
        </w:rPr>
        <w:t xml:space="preserve">☐  K: Lot elevation from fronting road (+/− m).</w:t>
      </w:r>
    </w:p>
    <w:p>
      <w:pPr>
        <w:spacing w:after="60"/>
        <w:ind w:left="360"/>
      </w:pPr>
      <w:r>
        <w:rPr>
          <w:rFonts w:ascii="Arial" w:cs="Arial" w:eastAsia="Arial" w:hAnsi="Arial"/>
          <w:sz w:val="22"/>
          <w:szCs w:val="22"/>
        </w:rPr>
        <w:t xml:space="preserve">☐  L: Soil condition report (from engineering office if available; otherwise SBT scheduled).</w:t>
      </w:r>
    </w:p>
    <w:p>
      <w:pPr>
        <w:spacing w:after="60"/>
        <w:ind w:left="360"/>
      </w:pPr>
      <w:r>
        <w:rPr>
          <w:rFonts w:ascii="Arial" w:cs="Arial" w:eastAsia="Arial" w:hAnsi="Arial"/>
          <w:sz w:val="22"/>
          <w:szCs w:val="22"/>
        </w:rPr>
        <w:t xml:space="preserve">☐  M: Usage of proposed location (residential/commercial/agricultural).</w:t>
      </w:r>
    </w:p>
    <w:p>
      <w:pPr>
        <w:spacing w:after="60"/>
        <w:ind w:left="360"/>
      </w:pPr>
      <w:r>
        <w:rPr>
          <w:rFonts w:ascii="Arial" w:cs="Arial" w:eastAsia="Arial" w:hAnsi="Arial"/>
          <w:sz w:val="22"/>
          <w:szCs w:val="22"/>
        </w:rPr>
        <w:t xml:space="preserve">☐  N: Existing ordinance (zoning, height restrictions, heritage zone, BCDA, etc.).</w:t>
      </w:r>
    </w:p>
    <w:p>
      <w:pPr>
        <w:pStyle w:val="Heading3"/>
        <w:spacing w:after="120" w:before="180"/>
      </w:pPr>
      <w:r>
        <w:rPr>
          <w:rFonts w:ascii="Arial" w:cs="Arial" w:eastAsia="Arial" w:hAnsi="Arial"/>
        </w:rPr>
        <w:t xml:space="preserve">O–Q. Operational &amp; Variance</w:t>
      </w:r>
    </w:p>
    <w:p>
      <w:pPr>
        <w:spacing w:after="60"/>
        <w:ind w:left="360"/>
      </w:pPr>
      <w:r>
        <w:rPr>
          <w:rFonts w:ascii="Arial" w:cs="Arial" w:eastAsia="Arial" w:hAnsi="Arial"/>
          <w:sz w:val="22"/>
          <w:szCs w:val="22"/>
        </w:rPr>
        <w:t xml:space="preserve">☐  O: Peace and Order situation history documented.</w:t>
      </w:r>
    </w:p>
    <w:p>
      <w:pPr>
        <w:spacing w:after="60"/>
        <w:ind w:left="360"/>
      </w:pPr>
      <w:r>
        <w:rPr>
          <w:rFonts w:ascii="Arial" w:cs="Arial" w:eastAsia="Arial" w:hAnsi="Arial"/>
          <w:sz w:val="22"/>
          <w:szCs w:val="22"/>
        </w:rPr>
        <w:t xml:space="preserve">☐  P: Mode of transportation to site (from main road/town) described in detail.</w:t>
      </w:r>
    </w:p>
    <w:p>
      <w:pPr>
        <w:spacing w:after="60"/>
        <w:ind w:left="360"/>
      </w:pPr>
      <w:r>
        <w:rPr>
          <w:rFonts w:ascii="Arial" w:cs="Arial" w:eastAsia="Arial" w:hAnsi="Arial"/>
          <w:sz w:val="22"/>
          <w:szCs w:val="22"/>
        </w:rPr>
        <w:t xml:space="preserve">☐  Q: Variation Works identified (any work outside Sched 4 Part A Responsibility Matrix).</w:t>
      </w:r>
    </w:p>
    <w:p>
      <w:pPr>
        <w:spacing w:after="60"/>
        <w:ind w:left="360"/>
      </w:pPr>
      <w:r>
        <w:rPr>
          <w:rFonts w:ascii="Arial" w:cs="Arial" w:eastAsia="Arial" w:hAnsi="Arial"/>
          <w:sz w:val="22"/>
          <w:szCs w:val="22"/>
        </w:rPr>
        <w:t xml:space="preserve">☐  Q: Remarks and Narrative Report attached.</w:t>
      </w:r>
    </w:p>
    <w:p>
      <w:pPr>
        <w:pStyle w:val="Heading3"/>
        <w:spacing w:after="120" w:before="180"/>
      </w:pPr>
      <w:r>
        <w:rPr>
          <w:rFonts w:ascii="Arial" w:cs="Arial" w:eastAsia="Arial" w:hAnsi="Arial"/>
        </w:rPr>
        <w:t xml:space="preserve">Conceptual &amp; Visual Annexes</w:t>
      </w:r>
    </w:p>
    <w:p>
      <w:pPr>
        <w:spacing w:after="60"/>
        <w:ind w:left="360"/>
      </w:pPr>
      <w:r>
        <w:rPr>
          <w:rFonts w:ascii="Arial" w:cs="Arial" w:eastAsia="Arial" w:hAnsi="Arial"/>
          <w:sz w:val="22"/>
          <w:szCs w:val="22"/>
        </w:rPr>
        <w:t xml:space="preserve">☐  Site Conceptual Drawing — tower/site layout.</w:t>
      </w:r>
    </w:p>
    <w:p>
      <w:pPr>
        <w:spacing w:after="60"/>
        <w:ind w:left="360"/>
      </w:pPr>
      <w:r>
        <w:rPr>
          <w:rFonts w:ascii="Arial" w:cs="Arial" w:eastAsia="Arial" w:hAnsi="Arial"/>
          <w:sz w:val="22"/>
          <w:szCs w:val="22"/>
        </w:rPr>
        <w:t xml:space="preserve">☐  Proposed Location vs. Existing Location overlay.</w:t>
      </w:r>
    </w:p>
    <w:p>
      <w:pPr>
        <w:spacing w:after="60"/>
        <w:ind w:left="360"/>
      </w:pPr>
      <w:r>
        <w:rPr>
          <w:rFonts w:ascii="Arial" w:cs="Arial" w:eastAsia="Arial" w:hAnsi="Arial"/>
          <w:sz w:val="22"/>
          <w:szCs w:val="22"/>
        </w:rPr>
        <w:t xml:space="preserve">☐  Road Access drawing (main road → secondary road → entrance gate).</w:t>
      </w:r>
    </w:p>
    <w:p>
      <w:pPr>
        <w:spacing w:after="60"/>
        <w:ind w:left="360"/>
      </w:pPr>
      <w:r>
        <w:rPr>
          <w:rFonts w:ascii="Arial" w:cs="Arial" w:eastAsia="Arial" w:hAnsi="Arial"/>
          <w:sz w:val="22"/>
          <w:szCs w:val="22"/>
        </w:rPr>
        <w:t xml:space="preserve">☐  Site Panoramic Pictures — 12 directions (every 30°) from highest elevation.</w:t>
      </w:r>
    </w:p>
    <w:p>
      <w:pPr>
        <w:spacing w:after="60"/>
        <w:ind w:left="360"/>
      </w:pPr>
      <w:r>
        <w:rPr>
          <w:rFonts w:ascii="Arial" w:cs="Arial" w:eastAsia="Arial" w:hAnsi="Arial"/>
          <w:sz w:val="22"/>
          <w:szCs w:val="22"/>
        </w:rPr>
        <w:t xml:space="preserve">☐  Coverage Objectives — per sector, with coordinates and target barangays/villages.</w:t>
      </w:r>
    </w:p>
    <w:p>
      <w:pPr>
        <w:spacing w:after="60"/>
        <w:ind w:left="360"/>
      </w:pPr>
      <w:r>
        <w:rPr>
          <w:rFonts w:ascii="Arial" w:cs="Arial" w:eastAsia="Arial" w:hAnsi="Arial"/>
          <w:sz w:val="22"/>
          <w:szCs w:val="22"/>
        </w:rPr>
        <w:t xml:space="preserve">☐  Photo of nearest tapping point and electrical details.</w:t>
      </w:r>
    </w:p>
    <w:p>
      <w:pPr>
        <w:pStyle w:val="Heading3"/>
        <w:spacing w:after="120" w:before="180"/>
      </w:pPr>
      <w:r>
        <w:rPr>
          <w:rFonts w:ascii="Arial" w:cs="Arial" w:eastAsia="Arial" w:hAnsi="Arial"/>
        </w:rPr>
        <w:t xml:space="preserve">RF TSSR Approval Sheet (Schedule 4 Part D required)</w:t>
      </w:r>
    </w:p>
    <w:p>
      <w:pPr>
        <w:spacing w:after="60"/>
        <w:ind w:left="360"/>
      </w:pPr>
      <w:r>
        <w:rPr>
          <w:rFonts w:ascii="Arial" w:cs="Arial" w:eastAsia="Arial" w:hAnsi="Arial"/>
          <w:sz w:val="22"/>
          <w:szCs w:val="22"/>
        </w:rPr>
        <w:t xml:space="preserve">☐  Three reviewer slots filled (Name, Designation, Remarks: APPROVED DOCUMENT / APPROVED SOLUTION).</w:t>
      </w:r>
    </w:p>
    <w:p>
      <w:pPr>
        <w:spacing w:after="60"/>
        <w:ind w:left="360"/>
      </w:pPr>
      <w:r>
        <w:rPr>
          <w:rFonts w:ascii="Arial" w:cs="Arial" w:eastAsia="Arial" w:hAnsi="Arial"/>
          <w:sz w:val="22"/>
          <w:szCs w:val="22"/>
        </w:rPr>
        <w:t xml:space="preserve">☐  Signed by TowerCo Engineering Lead (internal review) BEFORE MNO submission.</w:t>
      </w:r>
    </w:p>
    <w:p>
      <w:pPr>
        <w:pStyle w:val="Heading2"/>
        <w:spacing w:after="180" w:before="240"/>
      </w:pPr>
      <w:r>
        <w:rPr>
          <w:rFonts w:ascii="Arial" w:cs="Arial" w:eastAsia="Arial" w:hAnsi="Arial"/>
        </w:rPr>
        <w:t xml:space="preserve">2.4 Leasing &amp; Permitting Checklist</w:t>
      </w:r>
    </w:p>
    <w:p>
      <w:pPr>
        <w:pStyle w:val="Heading3"/>
        <w:spacing w:after="120" w:before="180"/>
      </w:pPr>
      <w:r>
        <w:rPr>
          <w:rFonts w:ascii="Arial" w:cs="Arial" w:eastAsia="Arial" w:hAnsi="Arial"/>
        </w:rPr>
        <w:t xml:space="preserve">Memorandum of Contract (MOC)</w:t>
      </w:r>
    </w:p>
    <w:p>
      <w:pPr>
        <w:spacing w:after="60"/>
        <w:ind w:left="360"/>
      </w:pPr>
      <w:r>
        <w:rPr>
          <w:rFonts w:ascii="Arial" w:cs="Arial" w:eastAsia="Arial" w:hAnsi="Arial"/>
          <w:sz w:val="22"/>
          <w:szCs w:val="22"/>
        </w:rPr>
        <w:t xml:space="preserve">☐  Property documents verified: Original Land Title (TCT/OCT/CCT) — certified true copy not older than 6 months.</w:t>
      </w:r>
    </w:p>
    <w:p>
      <w:pPr>
        <w:spacing w:after="60"/>
        <w:ind w:left="360"/>
      </w:pPr>
      <w:r>
        <w:rPr>
          <w:rFonts w:ascii="Arial" w:cs="Arial" w:eastAsia="Arial" w:hAnsi="Arial"/>
          <w:sz w:val="22"/>
          <w:szCs w:val="22"/>
        </w:rPr>
        <w:t xml:space="preserve">☐  Tax Declaration — latest (current year).</w:t>
      </w:r>
    </w:p>
    <w:p>
      <w:pPr>
        <w:spacing w:after="60"/>
        <w:ind w:left="360"/>
      </w:pPr>
      <w:r>
        <w:rPr>
          <w:rFonts w:ascii="Arial" w:cs="Arial" w:eastAsia="Arial" w:hAnsi="Arial"/>
          <w:sz w:val="22"/>
          <w:szCs w:val="22"/>
        </w:rPr>
        <w:t xml:space="preserve">☐  Real Property Tax (RPT) receipt — current year, no delinquency.</w:t>
      </w:r>
    </w:p>
    <w:p>
      <w:pPr>
        <w:spacing w:after="60"/>
        <w:ind w:left="360"/>
      </w:pPr>
      <w:r>
        <w:rPr>
          <w:rFonts w:ascii="Arial" w:cs="Arial" w:eastAsia="Arial" w:hAnsi="Arial"/>
          <w:sz w:val="22"/>
          <w:szCs w:val="22"/>
        </w:rPr>
        <w:t xml:space="preserve">☐  BIR Tax Identification Number of lessor verified; CTC presented.</w:t>
      </w:r>
    </w:p>
    <w:p>
      <w:pPr>
        <w:spacing w:after="60"/>
        <w:ind w:left="360"/>
      </w:pPr>
      <w:r>
        <w:rPr>
          <w:rFonts w:ascii="Arial" w:cs="Arial" w:eastAsia="Arial" w:hAnsi="Arial"/>
          <w:sz w:val="22"/>
          <w:szCs w:val="22"/>
        </w:rPr>
        <w:t xml:space="preserve">☐  Lessor identity verified (2 government IDs); if corporation: SEC Cert + Board Resolution; if inherited/co-owned: Extrajudicial Settlement + ALL heirs' SPA.</w:t>
      </w:r>
    </w:p>
    <w:p>
      <w:pPr>
        <w:spacing w:after="60"/>
        <w:ind w:left="360"/>
      </w:pPr>
      <w:r>
        <w:rPr>
          <w:rFonts w:ascii="Arial" w:cs="Arial" w:eastAsia="Arial" w:hAnsi="Arial"/>
          <w:sz w:val="22"/>
          <w:szCs w:val="22"/>
        </w:rPr>
        <w:t xml:space="preserve">☐  If conjugal property: spousal consent signed.</w:t>
      </w:r>
    </w:p>
    <w:p>
      <w:pPr>
        <w:spacing w:after="60"/>
        <w:ind w:left="360"/>
      </w:pPr>
      <w:r>
        <w:rPr>
          <w:rFonts w:ascii="Arial" w:cs="Arial" w:eastAsia="Arial" w:hAnsi="Arial"/>
          <w:sz w:val="22"/>
          <w:szCs w:val="22"/>
        </w:rPr>
        <w:t xml:space="preserve">☐  MOC signed by lessor (and spouse if applicable), notarized.</w:t>
      </w:r>
    </w:p>
    <w:p>
      <w:pPr>
        <w:spacing w:after="60"/>
        <w:ind w:left="360"/>
      </w:pPr>
      <w:r>
        <w:rPr>
          <w:rFonts w:ascii="Arial" w:cs="Arial" w:eastAsia="Arial" w:hAnsi="Arial"/>
          <w:sz w:val="22"/>
          <w:szCs w:val="22"/>
        </w:rPr>
        <w:t xml:space="preserve">☐  MOC lease fee within Schedule 2 ceiling — if exceeds, eLAS commercial deviation flagged.</w:t>
      </w:r>
    </w:p>
    <w:p>
      <w:pPr>
        <w:pStyle w:val="Heading3"/>
        <w:spacing w:after="120" w:before="180"/>
      </w:pPr>
      <w:r>
        <w:rPr>
          <w:rFonts w:ascii="Arial" w:cs="Arial" w:eastAsia="Arial" w:hAnsi="Arial"/>
        </w:rPr>
        <w:t xml:space="preserve">Contract of Lease (COL) — Long-Form</w:t>
      </w:r>
    </w:p>
    <w:p>
      <w:pPr>
        <w:spacing w:after="60"/>
        <w:ind w:left="360"/>
      </w:pPr>
      <w:r>
        <w:rPr>
          <w:rFonts w:ascii="Arial" w:cs="Arial" w:eastAsia="Arial" w:hAnsi="Arial"/>
          <w:sz w:val="22"/>
          <w:szCs w:val="22"/>
        </w:rPr>
        <w:t xml:space="preserve">☐  Signed COL (typically 10+10 years, renewable per MLA).</w:t>
      </w:r>
    </w:p>
    <w:p>
      <w:pPr>
        <w:spacing w:after="60"/>
        <w:ind w:left="360"/>
      </w:pPr>
      <w:r>
        <w:rPr>
          <w:rFonts w:ascii="Arial" w:cs="Arial" w:eastAsia="Arial" w:hAnsi="Arial"/>
          <w:sz w:val="22"/>
          <w:szCs w:val="22"/>
        </w:rPr>
        <w:t xml:space="preserve">☐  Neighbors' Consent — minimum 3 immediate adjacents, signed and witnessed by Barangay official.</w:t>
      </w:r>
    </w:p>
    <w:p>
      <w:pPr>
        <w:spacing w:after="60"/>
        <w:ind w:left="360"/>
      </w:pPr>
      <w:r>
        <w:rPr>
          <w:rFonts w:ascii="Arial" w:cs="Arial" w:eastAsia="Arial" w:hAnsi="Arial"/>
          <w:sz w:val="22"/>
          <w:szCs w:val="22"/>
        </w:rPr>
        <w:t xml:space="preserve">☐  Homeowners' Association (HOA) Clearance (subdivisions).</w:t>
      </w:r>
    </w:p>
    <w:p>
      <w:pPr>
        <w:spacing w:after="60"/>
        <w:ind w:left="360"/>
      </w:pPr>
      <w:r>
        <w:rPr>
          <w:rFonts w:ascii="Arial" w:cs="Arial" w:eastAsia="Arial" w:hAnsi="Arial"/>
          <w:sz w:val="22"/>
          <w:szCs w:val="22"/>
        </w:rPr>
        <w:t xml:space="preserve">☐  Barangay Endorsement / No Objection.</w:t>
      </w:r>
    </w:p>
    <w:p>
      <w:pPr>
        <w:pStyle w:val="Heading3"/>
        <w:spacing w:after="120" w:before="180"/>
      </w:pPr>
      <w:r>
        <w:rPr>
          <w:rFonts w:ascii="Arial" w:cs="Arial" w:eastAsia="Arial" w:hAnsi="Arial"/>
        </w:rPr>
        <w:t xml:space="preserve">Electronic Lease Approval Sheet (eLAS)</w:t>
      </w:r>
    </w:p>
    <w:p>
      <w:pPr>
        <w:spacing w:after="60"/>
        <w:ind w:left="360"/>
      </w:pPr>
      <w:r>
        <w:rPr>
          <w:rFonts w:ascii="Arial" w:cs="Arial" w:eastAsia="Arial" w:hAnsi="Arial"/>
          <w:sz w:val="22"/>
          <w:szCs w:val="22"/>
        </w:rPr>
        <w:t xml:space="preserve">☐  eLAS package compiled: TSSR, MOC, property docs, business case IRR, lessor profile.</w:t>
      </w:r>
    </w:p>
    <w:p>
      <w:pPr>
        <w:spacing w:after="60"/>
        <w:ind w:left="360"/>
      </w:pPr>
      <w:r>
        <w:rPr>
          <w:rFonts w:ascii="Arial" w:cs="Arial" w:eastAsia="Arial" w:hAnsi="Arial"/>
          <w:sz w:val="22"/>
          <w:szCs w:val="22"/>
        </w:rPr>
        <w:t xml:space="preserve">☐  Commercial Analysis (Business Casing) by BD: IRR passes threshold.</w:t>
      </w:r>
    </w:p>
    <w:p>
      <w:pPr>
        <w:spacing w:after="60"/>
        <w:ind w:left="360"/>
      </w:pPr>
      <w:r>
        <w:rPr>
          <w:rFonts w:ascii="Arial" w:cs="Arial" w:eastAsia="Arial" w:hAnsi="Arial"/>
          <w:sz w:val="22"/>
          <w:szCs w:val="22"/>
        </w:rPr>
        <w:t xml:space="preserve">☐  eLAS routed to MNO per agreed channel.</w:t>
      </w:r>
    </w:p>
    <w:p>
      <w:pPr>
        <w:spacing w:after="60"/>
        <w:ind w:left="360"/>
      </w:pPr>
      <w:r>
        <w:rPr>
          <w:rFonts w:ascii="Arial" w:cs="Arial" w:eastAsia="Arial" w:hAnsi="Arial"/>
          <w:sz w:val="22"/>
          <w:szCs w:val="22"/>
        </w:rPr>
        <w:t xml:space="preserve">☐  MNO approval received in writing (email or e-signature) — store in Site Tracker as Control Doc.</w:t>
      </w:r>
    </w:p>
    <w:p>
      <w:pPr>
        <w:pStyle w:val="Heading3"/>
        <w:spacing w:after="120" w:before="180"/>
      </w:pPr>
      <w:r>
        <w:rPr>
          <w:rFonts w:ascii="Arial" w:cs="Arial" w:eastAsia="Arial" w:hAnsi="Arial"/>
        </w:rPr>
        <w:t xml:space="preserve">LGU &amp; Statutory Clearances</w:t>
      </w:r>
    </w:p>
    <w:p>
      <w:pPr>
        <w:spacing w:after="60"/>
        <w:ind w:left="360"/>
      </w:pPr>
      <w:r>
        <w:rPr>
          <w:rFonts w:ascii="Arial" w:cs="Arial" w:eastAsia="Arial" w:hAnsi="Arial"/>
          <w:sz w:val="22"/>
          <w:szCs w:val="22"/>
        </w:rPr>
        <w:t xml:space="preserve">☐  Barangay Clearance (for tower construction).</w:t>
      </w:r>
    </w:p>
    <w:p>
      <w:pPr>
        <w:spacing w:after="60"/>
        <w:ind w:left="360"/>
      </w:pPr>
      <w:r>
        <w:rPr>
          <w:rFonts w:ascii="Arial" w:cs="Arial" w:eastAsia="Arial" w:hAnsi="Arial"/>
          <w:sz w:val="22"/>
          <w:szCs w:val="22"/>
        </w:rPr>
        <w:t xml:space="preserve">☐  Locational/Zoning Clearance from City/Municipal Planning Office.</w:t>
      </w:r>
    </w:p>
    <w:p>
      <w:pPr>
        <w:spacing w:after="60"/>
        <w:ind w:left="360"/>
      </w:pPr>
      <w:r>
        <w:rPr>
          <w:rFonts w:ascii="Arial" w:cs="Arial" w:eastAsia="Arial" w:hAnsi="Arial"/>
          <w:sz w:val="22"/>
          <w:szCs w:val="22"/>
        </w:rPr>
        <w:t xml:space="preserve">☐  CSHP submitted to DOLE Regional Office; DOLE acknowledgement received.</w:t>
      </w:r>
    </w:p>
    <w:p>
      <w:pPr>
        <w:spacing w:after="60"/>
        <w:ind w:left="360"/>
      </w:pPr>
      <w:r>
        <w:rPr>
          <w:rFonts w:ascii="Arial" w:cs="Arial" w:eastAsia="Arial" w:hAnsi="Arial"/>
          <w:sz w:val="22"/>
          <w:szCs w:val="22"/>
        </w:rPr>
        <w:t xml:space="preserve">☐  Building Permit Application filed (sign-and-sealed plans, structural design, electrical, sanitary, mechanical, fire safety).</w:t>
      </w:r>
    </w:p>
    <w:p>
      <w:pPr>
        <w:spacing w:after="60"/>
        <w:ind w:left="360"/>
      </w:pPr>
      <w:r>
        <w:rPr>
          <w:rFonts w:ascii="Arial" w:cs="Arial" w:eastAsia="Arial" w:hAnsi="Arial"/>
          <w:sz w:val="22"/>
          <w:szCs w:val="22"/>
        </w:rPr>
        <w:t xml:space="preserve">☐  Fire Safety Evaluation Clearance (BFP).</w:t>
      </w:r>
    </w:p>
    <w:p>
      <w:pPr>
        <w:spacing w:after="60"/>
        <w:ind w:left="360"/>
      </w:pPr>
      <w:r>
        <w:rPr>
          <w:rFonts w:ascii="Arial" w:cs="Arial" w:eastAsia="Arial" w:hAnsi="Arial"/>
          <w:sz w:val="22"/>
          <w:szCs w:val="22"/>
        </w:rPr>
        <w:t xml:space="preserve">☐  DENR ECC or CNC (Certificate of Non-Coverage) — verify whether tower height &amp; location triggers ECC requirement.</w:t>
      </w:r>
    </w:p>
    <w:p>
      <w:pPr>
        <w:spacing w:after="60"/>
        <w:ind w:left="360"/>
      </w:pPr>
      <w:r>
        <w:rPr>
          <w:rFonts w:ascii="Arial" w:cs="Arial" w:eastAsia="Arial" w:hAnsi="Arial"/>
          <w:sz w:val="22"/>
          <w:szCs w:val="22"/>
        </w:rPr>
        <w:t xml:space="preserve">☐  DPWH Excavation/ROW permit if cable trenching crosses public road.</w:t>
      </w:r>
    </w:p>
    <w:p>
      <w:pPr>
        <w:spacing w:after="60"/>
        <w:ind w:left="360"/>
      </w:pPr>
      <w:r>
        <w:rPr>
          <w:rFonts w:ascii="Arial" w:cs="Arial" w:eastAsia="Arial" w:hAnsi="Arial"/>
          <w:sz w:val="22"/>
          <w:szCs w:val="22"/>
        </w:rPr>
        <w:t xml:space="preserve">☐  NTC tower registration (post-construction, before RFTI).</w:t>
      </w:r>
    </w:p>
    <w:p>
      <w:pPr>
        <w:spacing w:after="60"/>
        <w:ind w:left="360"/>
      </w:pPr>
      <w:r>
        <w:rPr>
          <w:rFonts w:ascii="Arial" w:cs="Arial" w:eastAsia="Arial" w:hAnsi="Arial"/>
          <w:sz w:val="22"/>
          <w:szCs w:val="22"/>
        </w:rPr>
        <w:t xml:space="preserve">☐  CAAP clearance if within 15 km of any airport or above height threshold.</w:t>
      </w:r>
    </w:p>
    <w:p>
      <w:pPr>
        <w:spacing w:after="60"/>
        <w:ind w:left="360"/>
      </w:pPr>
      <w:r>
        <w:rPr>
          <w:rFonts w:ascii="Arial" w:cs="Arial" w:eastAsia="Arial" w:hAnsi="Arial"/>
          <w:sz w:val="22"/>
          <w:szCs w:val="22"/>
        </w:rPr>
        <w:t xml:space="preserve">☐  If within heritage zone: NHCP clearance. If within ancestral domain: NCIP FPIC compliance.</w:t>
      </w:r>
    </w:p>
    <w:p>
      <w:pPr>
        <w:pStyle w:val="Heading2"/>
        <w:spacing w:after="180" w:before="240"/>
      </w:pPr>
      <w:r>
        <w:rPr>
          <w:rFonts w:ascii="Arial" w:cs="Arial" w:eastAsia="Arial" w:hAnsi="Arial"/>
        </w:rPr>
        <w:t xml:space="preserve">2.5 Daily Site Hunting Report — Field-by-Field Data Entry Format</w:t>
      </w:r>
    </w:p>
    <w:p>
      <w:pPr>
        <w:spacing w:after="80" w:before="0"/>
      </w:pPr>
      <w:r>
        <w:rPr>
          <w:rFonts w:ascii="Arial" w:cs="Arial" w:eastAsia="Arial" w:hAnsi="Arial"/>
          <w:i/>
          <w:iCs/>
        </w:rPr>
        <w:t xml:space="preserve">Submitted EOD by each Site Hunter to SAQ Lead AND Engineering. One row per candidate scouted that day.</w:t>
      </w:r>
    </w:p>
    <w:p>
      <w:pPr>
        <w:spacing w:after="80" w:before="0"/>
      </w:pPr>
      <w:r>
        <w:rPr>
          <w:rFonts w:ascii="Arial" w:cs="Arial" w:eastAsia="Arial" w:hAnsi="Arial"/>
          <w:b/>
          <w:bCs/>
        </w:rPr>
        <w:t xml:space="preserve">HEADER FIELDS (one per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Example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Report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 (e.g., 13-Mar-2026)</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Hunter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Full name, ID number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SAQ Vendor (if applicable)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Vendor company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Region / Territory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NLZ / SLZ / NCR / VIS / MIN — Territory code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Globe / Smart / DITO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BTS / Colocation / RTB / Macro / Small Cell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Active Search Rings Worked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List of SR names / TCO IDs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Total Candidates Identified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Numeric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Weather / Field Conditions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PER-CANDIDATE ROW (repeat for each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Example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Candidate #</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 / 2 / 3 (ranked priority)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Auto-from Tracker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Search Ring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MNO endorsement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Within Search Ring?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 NO + distance from SR center (m)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Latitude (decimal)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e.g., 14.65432</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Longitude (decimal)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e.g., 121.04567</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Property Address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Full street, barangay, city, province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Full name + contact number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Verbal Rate Indication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PHP/month or PHP lump sum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Willingness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Receptive / Cautious / Refused / Pending</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Lot Area Available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sqm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Ground Elevation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 (from GPS or survey)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Area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Residential / Commercial / Agricultural / Industrial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Topography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Flat / Rolling / Mountainous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Soil Indicator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Visible / Subsurface unknown — flag for SBT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Distance from Shoreline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km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Flood History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lessor &amp; neighbors (free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Commercial Power — Serving Utility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MERALCO / Coop name / N/A</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Distance to Nearest Tapping Point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Estimated # of Poles Required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pcs @ X m spacing</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Access — Width</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Surface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Concrete / Asphalt / Gravel / Dirt / None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Owner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Public road / Private (named owner) / Disputed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Existing Ordinance Issue?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(describe)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Heritage / Protected Area Flag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(NHCP/NIPAS/Ancestral)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CAAP / Aviation Conflict?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(distance to airport)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HOA Present?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(HOA name)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Peace &amp; Order Indicator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Stable / Cautious / High-risk</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Photos Attached?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 count / location in shared drive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Pre-Assessment Recommendation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PROCEED to TSSR / PARK / PSH</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Flags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 — any blocker visible from field</w:t>
            </w:r>
          </w:p>
        </w:tc>
      </w:tr>
    </w:tbl>
    <w:p>
      <w:pPr>
        <w:pStyle w:val="Heading2"/>
        <w:spacing w:after="180" w:before="240"/>
      </w:pPr>
      <w:r>
        <w:rPr>
          <w:rFonts w:ascii="Arial" w:cs="Arial" w:eastAsia="Arial" w:hAnsi="Arial"/>
        </w:rPr>
        <w:t xml:space="preserve">2.6 Electronic Lease Approval Sheet (eLAS) — Data Entry Format</w:t>
      </w:r>
    </w:p>
    <w:p>
      <w:pPr>
        <w:spacing w:after="80" w:before="0"/>
      </w:pPr>
      <w:r>
        <w:rPr>
          <w:rFonts w:ascii="Arial" w:cs="Arial" w:eastAsia="Arial" w:hAnsi="Arial"/>
          <w:i/>
          <w:iCs/>
        </w:rPr>
        <w:t xml:space="preserve">The eLAS is the commercial-and-legal package routed to MNO before MOC/COL execution. It must pass internal IRR threshold before MNO routing.</w:t>
      </w:r>
    </w:p>
    <w:p>
      <w:pPr>
        <w:spacing w:after="80" w:before="0"/>
      </w:pPr>
      <w:r>
        <w:rPr>
          <w:rFonts w:ascii="Arial" w:cs="Arial" w:eastAsia="Arial" w:hAnsi="Arial"/>
          <w:b/>
          <w:bCs/>
        </w:rPr>
        <w:t xml:space="preserve">SECTION A — SITE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Site Code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Endorsement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Name (full)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BTS / Colocation / RTB</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Globe / Smart / DITO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Region / Territory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Endorsement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TSSR Approval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 (Day 1 anchor)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Target RFI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TSSR Approval + 120 calendar days</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SECTION B — LESSOR &amp;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Full Legal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government ID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Individual / Corp / Estate / Co-owned / Government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TIN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XXX-XXX-XXX-XXX</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Contact Number / Email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Mobile / landline / email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Property Title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TCT / OCT / CCT / Tax Dec only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Title Number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As shown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Lot Area (Total)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sqm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Leased Area</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sqm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Property Use Restriction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 Encumbered (describe)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RPT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Current / Delinquent (amount)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Property Encumbrances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Mortgage / Lis Pendens / Other</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SECTION C —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Monthly Lease Rate (PHP)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Numeric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2 Ceiling (PHP)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Reference rate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Variance vs. Ceiling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 above/below</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Annual Escalation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Lease Term</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Years (initial + renewal options)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Advance / Deposit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amount; months equivalent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One-Time Goodwill / Signing Bonus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if any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Tax Withholding Treatment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Subject to EWT 5% / VAT-exempt / etc.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Pre-Award Spend Authorized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cap (per Pre-Award Risk Matrix §5.3)</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SECTION D —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CapEx Estimate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 Tower, foundation, DC, install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OpEx (Annual)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 Ground lease, power, security, FM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Anchor Tenant Lease Fee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PHP/month per Sched 2</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Projected Tenancy Ratio (Yr 5)</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1.0x / 1.5x / 2.0x</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IRR (10-yr)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NPV @ WACC</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IRR Threshold (Pass/Fail)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Pass ≥ X% / Fail &lt; X%</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Payback Period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Years</w:t>
            </w:r>
          </w:p>
        </w:tc>
      </w:tr>
    </w:tbl>
    <w:p>
      <w:pPr>
        <w:spacing w:after="120" w:before="0"/>
      </w:pPr>
      <w:r>
        <w:rPr>
          <w:rFonts w:ascii="Arial" w:cs="Arial" w:eastAsia="Arial" w:hAnsi="Arial"/>
        </w:rPr>
        <w:t xml:space="preserve"/>
      </w:r>
    </w:p>
    <w:p>
      <w:pPr>
        <w:spacing w:after="80" w:before="0"/>
      </w:pPr>
      <w:r>
        <w:rPr>
          <w:rFonts w:ascii="Arial" w:cs="Arial" w:eastAsia="Arial" w:hAnsi="Arial"/>
          <w:b/>
          <w:bCs/>
        </w:rPr>
        <w:t xml:space="preserve">SECTION E — ATTACHMENTS &amp; SIGN-OFF</w:t>
      </w:r>
    </w:p>
    <w:p>
      <w:pPr>
        <w:spacing w:after="60"/>
        <w:ind w:left="360"/>
      </w:pPr>
      <w:r>
        <w:rPr>
          <w:rFonts w:ascii="Arial" w:cs="Arial" w:eastAsia="Arial" w:hAnsi="Arial"/>
          <w:sz w:val="22"/>
          <w:szCs w:val="22"/>
        </w:rPr>
        <w:t xml:space="preserve">☐  Approved TSSR (Sched 4 Part D).</w:t>
      </w:r>
    </w:p>
    <w:p>
      <w:pPr>
        <w:spacing w:after="60"/>
        <w:ind w:left="360"/>
      </w:pPr>
      <w:r>
        <w:rPr>
          <w:rFonts w:ascii="Arial" w:cs="Arial" w:eastAsia="Arial" w:hAnsi="Arial"/>
          <w:sz w:val="22"/>
          <w:szCs w:val="22"/>
        </w:rPr>
        <w:t xml:space="preserve">☐  Draft MOC.</w:t>
      </w:r>
    </w:p>
    <w:p>
      <w:pPr>
        <w:spacing w:after="60"/>
        <w:ind w:left="360"/>
      </w:pPr>
      <w:r>
        <w:rPr>
          <w:rFonts w:ascii="Arial" w:cs="Arial" w:eastAsia="Arial" w:hAnsi="Arial"/>
          <w:sz w:val="22"/>
          <w:szCs w:val="22"/>
        </w:rPr>
        <w:t xml:space="preserve">☐  Property docs (Title, Tax Dec, RPT receipt).</w:t>
      </w:r>
    </w:p>
    <w:p>
      <w:pPr>
        <w:spacing w:after="60"/>
        <w:ind w:left="360"/>
      </w:pPr>
      <w:r>
        <w:rPr>
          <w:rFonts w:ascii="Arial" w:cs="Arial" w:eastAsia="Arial" w:hAnsi="Arial"/>
          <w:sz w:val="22"/>
          <w:szCs w:val="22"/>
        </w:rPr>
        <w:t xml:space="preserve">☐  Lessor ID copies.</w:t>
      </w:r>
    </w:p>
    <w:p>
      <w:pPr>
        <w:spacing w:after="60"/>
        <w:ind w:left="360"/>
      </w:pPr>
      <w:r>
        <w:rPr>
          <w:rFonts w:ascii="Arial" w:cs="Arial" w:eastAsia="Arial" w:hAnsi="Arial"/>
          <w:sz w:val="22"/>
          <w:szCs w:val="22"/>
        </w:rPr>
        <w:t xml:space="preserve">☐  Neighbors' Consent (preliminary).</w:t>
      </w:r>
    </w:p>
    <w:p>
      <w:pPr>
        <w:spacing w:after="60"/>
        <w:ind w:left="360"/>
      </w:pPr>
      <w:r>
        <w:rPr>
          <w:rFonts w:ascii="Arial" w:cs="Arial" w:eastAsia="Arial" w:hAnsi="Arial"/>
          <w:sz w:val="22"/>
          <w:szCs w:val="22"/>
        </w:rPr>
        <w:t xml:space="preserve">☐  Business Case spreadsheet.</w:t>
      </w:r>
    </w:p>
    <w:p>
      <w:pPr>
        <w:spacing w:after="60"/>
        <w:ind w:left="360"/>
      </w:pPr>
      <w:r>
        <w:rPr>
          <w:rFonts w:ascii="Arial" w:cs="Arial" w:eastAsia="Arial" w:hAnsi="Arial"/>
          <w:sz w:val="22"/>
          <w:szCs w:val="22"/>
        </w:rPr>
        <w:t xml:space="preserve">☐  SAQ Officer sign-off.</w:t>
      </w:r>
    </w:p>
    <w:p>
      <w:pPr>
        <w:spacing w:after="60"/>
        <w:ind w:left="360"/>
      </w:pPr>
      <w:r>
        <w:rPr>
          <w:rFonts w:ascii="Arial" w:cs="Arial" w:eastAsia="Arial" w:hAnsi="Arial"/>
          <w:sz w:val="22"/>
          <w:szCs w:val="22"/>
        </w:rPr>
        <w:t xml:space="preserve">☐  SAQ Manager sign-off.</w:t>
      </w:r>
    </w:p>
    <w:p>
      <w:pPr>
        <w:spacing w:after="60"/>
        <w:ind w:left="360"/>
      </w:pPr>
      <w:r>
        <w:rPr>
          <w:rFonts w:ascii="Arial" w:cs="Arial" w:eastAsia="Arial" w:hAnsi="Arial"/>
          <w:sz w:val="22"/>
          <w:szCs w:val="22"/>
        </w:rPr>
        <w:t xml:space="preserve">☐  BD Manager sign-off (commercial).</w:t>
      </w:r>
    </w:p>
    <w:p>
      <w:pPr>
        <w:spacing w:after="60"/>
        <w:ind w:left="360"/>
      </w:pPr>
      <w:r>
        <w:rPr>
          <w:rFonts w:ascii="Arial" w:cs="Arial" w:eastAsia="Arial" w:hAnsi="Arial"/>
          <w:sz w:val="22"/>
          <w:szCs w:val="22"/>
        </w:rPr>
        <w:t xml:space="preserve">☐  Engineering sign-off (technical fit).</w:t>
      </w:r>
    </w:p>
    <w:p>
      <w:pPr>
        <w:spacing w:after="60"/>
        <w:ind w:left="360"/>
      </w:pPr>
      <w:r>
        <w:rPr>
          <w:rFonts w:ascii="Arial" w:cs="Arial" w:eastAsia="Arial" w:hAnsi="Arial"/>
          <w:sz w:val="22"/>
          <w:szCs w:val="22"/>
        </w:rPr>
        <w:t xml:space="preserve">☐  Routed to MNO with reference number.</w:t>
      </w:r>
    </w:p>
    <w:p>
      <w:pPr>
        <w:pStyle w:val="Heading2"/>
        <w:spacing w:after="180" w:before="240"/>
      </w:pPr>
      <w:r>
        <w:rPr>
          <w:rFonts w:ascii="Arial" w:cs="Arial" w:eastAsia="Arial" w:hAnsi="Arial"/>
        </w:rPr>
        <w:t xml:space="preserve">2.7 Problematic Site Handling (PSH) Escalation Policy</w:t>
      </w:r>
    </w:p>
    <w:p>
      <w:pPr>
        <w:spacing w:after="80" w:before="0"/>
      </w:pPr>
      <w:r>
        <w:rPr>
          <w:rFonts w:ascii="Arial" w:cs="Arial" w:eastAsia="Arial" w:hAnsi="Arial"/>
        </w:rPr>
        <w:t xml:space="preserve">A site enters PSH status when ANY of the following triggers occur:</w:t>
      </w:r>
    </w:p>
    <w:p>
      <w:pPr>
        <w:pStyle w:val="ListParagraph"/>
        <w:numPr>
          <w:ilvl w:val="0"/>
          <w:numId w:val="3"/>
        </w:numPr>
        <w:spacing w:after="60"/>
      </w:pPr>
      <w:r>
        <w:rPr>
          <w:rFonts w:ascii="Arial" w:cs="Arial" w:eastAsia="Arial" w:hAnsi="Arial"/>
          <w:sz w:val="22"/>
          <w:szCs w:val="22"/>
        </w:rPr>
        <w:t xml:space="preserve">No viable candidate identified within the original Search Ring after 7 calendar days of active hunting.</w:t>
      </w:r>
    </w:p>
    <w:p>
      <w:pPr>
        <w:pStyle w:val="ListParagraph"/>
        <w:numPr>
          <w:ilvl w:val="0"/>
          <w:numId w:val="3"/>
        </w:numPr>
        <w:spacing w:after="60"/>
      </w:pPr>
      <w:r>
        <w:rPr>
          <w:rFonts w:ascii="Arial" w:cs="Arial" w:eastAsia="Arial" w:hAnsi="Arial"/>
          <w:sz w:val="22"/>
          <w:szCs w:val="22"/>
        </w:rPr>
        <w:t xml:space="preserve">TSSR rejected by MNO twice on the same site without resolution path.</w:t>
      </w:r>
    </w:p>
    <w:p>
      <w:pPr>
        <w:pStyle w:val="ListParagraph"/>
        <w:numPr>
          <w:ilvl w:val="0"/>
          <w:numId w:val="3"/>
        </w:numPr>
        <w:spacing w:after="60"/>
      </w:pPr>
      <w:r>
        <w:rPr>
          <w:rFonts w:ascii="Arial" w:cs="Arial" w:eastAsia="Arial" w:hAnsi="Arial"/>
          <w:sz w:val="22"/>
          <w:szCs w:val="22"/>
        </w:rPr>
        <w:t xml:space="preserve">Lease negotiations stall beyond 14 days from MOC drafting (lessor unresponsive, demands above ceiling, or title issues unresolvable).</w:t>
      </w:r>
    </w:p>
    <w:p>
      <w:pPr>
        <w:pStyle w:val="ListParagraph"/>
        <w:numPr>
          <w:ilvl w:val="0"/>
          <w:numId w:val="3"/>
        </w:numPr>
        <w:spacing w:after="60"/>
      </w:pPr>
      <w:r>
        <w:rPr>
          <w:rFonts w:ascii="Arial" w:cs="Arial" w:eastAsia="Arial" w:hAnsi="Arial"/>
          <w:sz w:val="22"/>
          <w:szCs w:val="22"/>
        </w:rPr>
        <w:t xml:space="preserve">LGU permitting blocked by political/policy stance (not procedural) for &gt;7 days.</w:t>
      </w:r>
    </w:p>
    <w:p>
      <w:pPr>
        <w:pStyle w:val="ListParagraph"/>
        <w:numPr>
          <w:ilvl w:val="0"/>
          <w:numId w:val="3"/>
        </w:numPr>
        <w:spacing w:after="60"/>
      </w:pPr>
      <w:r>
        <w:rPr>
          <w:rFonts w:ascii="Arial" w:cs="Arial" w:eastAsia="Arial" w:hAnsi="Arial"/>
          <w:sz w:val="22"/>
          <w:szCs w:val="22"/>
        </w:rPr>
        <w:t xml:space="preserve">Community resistance (signed petition, barangay opposition, or organized neighbor objection).</w:t>
      </w:r>
    </w:p>
    <w:p>
      <w:pPr>
        <w:pStyle w:val="ListParagraph"/>
        <w:numPr>
          <w:ilvl w:val="0"/>
          <w:numId w:val="3"/>
        </w:numPr>
        <w:spacing w:after="60"/>
      </w:pPr>
      <w:r>
        <w:rPr>
          <w:rFonts w:ascii="Arial" w:cs="Arial" w:eastAsia="Arial" w:hAnsi="Arial"/>
          <w:sz w:val="22"/>
          <w:szCs w:val="22"/>
        </w:rPr>
        <w:t xml:space="preserve">Electric Cooperative refuses interconnection, or quotes ROW clearing cost &gt;150% baseline.</w:t>
      </w:r>
    </w:p>
    <w:p>
      <w:pPr>
        <w:pStyle w:val="ListParagraph"/>
        <w:numPr>
          <w:ilvl w:val="0"/>
          <w:numId w:val="3"/>
        </w:numPr>
        <w:spacing w:after="60"/>
      </w:pPr>
      <w:r>
        <w:rPr>
          <w:rFonts w:ascii="Arial" w:cs="Arial" w:eastAsia="Arial" w:hAnsi="Arial"/>
          <w:sz w:val="22"/>
          <w:szCs w:val="22"/>
        </w:rPr>
        <w:t xml:space="preserve">ROW dispute (private claimant emerges, ancestral domain overlap, or right-of-way refused).</w:t>
      </w:r>
    </w:p>
    <w:p>
      <w:pPr>
        <w:pStyle w:val="ListParagraph"/>
        <w:numPr>
          <w:ilvl w:val="0"/>
          <w:numId w:val="3"/>
        </w:numPr>
        <w:spacing w:after="60"/>
      </w:pPr>
      <w:r>
        <w:rPr>
          <w:rFonts w:ascii="Arial" w:cs="Arial" w:eastAsia="Arial" w:hAnsi="Arial"/>
          <w:sz w:val="22"/>
          <w:szCs w:val="22"/>
        </w:rPr>
        <w:t xml:space="preserve">Force Majeure conditions persist at site location (e.g., active conflict, prolonged flooding).</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PSH Workflow</w:t>
      </w:r>
    </w:p>
    <w:p>
      <w:pPr>
        <w:pStyle w:val="ListParagraph"/>
        <w:numPr>
          <w:ilvl w:val="0"/>
          <w:numId w:val="3"/>
        </w:numPr>
        <w:spacing w:after="60"/>
      </w:pPr>
      <w:r>
        <w:rPr>
          <w:rFonts w:ascii="Arial" w:cs="Arial" w:eastAsia="Arial" w:hAnsi="Arial"/>
          <w:sz w:val="22"/>
          <w:szCs w:val="22"/>
        </w:rPr>
        <w:t xml:space="preserve">SAQ Officer logs trigger in PSH Portal within 24 hours of observation.</w:t>
      </w:r>
    </w:p>
    <w:p>
      <w:pPr>
        <w:pStyle w:val="ListParagraph"/>
        <w:numPr>
          <w:ilvl w:val="0"/>
          <w:numId w:val="3"/>
        </w:numPr>
        <w:spacing w:after="60"/>
      </w:pPr>
      <w:r>
        <w:rPr>
          <w:rFonts w:ascii="Arial" w:cs="Arial" w:eastAsia="Arial" w:hAnsi="Arial"/>
          <w:sz w:val="22"/>
          <w:szCs w:val="22"/>
        </w:rPr>
        <w:t xml:space="preserve">SAQ Lead reviews within 1 working day; classifies as PSH-Recoverable, PSH-Pivot, or PSH-Return.</w:t>
      </w:r>
    </w:p>
    <w:p>
      <w:pPr>
        <w:pStyle w:val="ListParagraph"/>
        <w:numPr>
          <w:ilvl w:val="0"/>
          <w:numId w:val="3"/>
        </w:numPr>
        <w:spacing w:after="60"/>
      </w:pPr>
      <w:r>
        <w:rPr>
          <w:rFonts w:ascii="Arial" w:cs="Arial" w:eastAsia="Arial" w:hAnsi="Arial"/>
          <w:sz w:val="22"/>
          <w:szCs w:val="22"/>
        </w:rPr>
        <w:t xml:space="preserve">Justification Report prepared (template §2.8) covering: (a) cause, (b) actions taken, (c) remaining options, (d) recommendation.</w:t>
      </w:r>
    </w:p>
    <w:p>
      <w:pPr>
        <w:pStyle w:val="ListParagraph"/>
        <w:numPr>
          <w:ilvl w:val="0"/>
          <w:numId w:val="3"/>
        </w:numPr>
        <w:spacing w:after="60"/>
      </w:pPr>
      <w:r>
        <w:rPr>
          <w:rFonts w:ascii="Arial" w:cs="Arial" w:eastAsia="Arial" w:hAnsi="Arial"/>
          <w:sz w:val="22"/>
          <w:szCs w:val="22"/>
        </w:rPr>
        <w:t xml:space="preserve">PSH Discussion meeting with MNO convened within 5 working days.</w:t>
      </w:r>
    </w:p>
    <w:p>
      <w:pPr>
        <w:pStyle w:val="ListParagraph"/>
        <w:numPr>
          <w:ilvl w:val="0"/>
          <w:numId w:val="3"/>
        </w:numPr>
        <w:spacing w:after="60"/>
      </w:pPr>
      <w:r>
        <w:rPr>
          <w:rFonts w:ascii="Arial" w:cs="Arial" w:eastAsia="Arial" w:hAnsi="Arial"/>
          <w:sz w:val="22"/>
          <w:szCs w:val="22"/>
        </w:rPr>
        <w:t xml:space="preserve">MNO confirms one of: (i) SR extension, (ii) new SR coordinates, (iii) site nominal relocation, (iv) withdrawal of Application (Cl. 3.2(d)).</w:t>
      </w:r>
    </w:p>
    <w:p>
      <w:pPr>
        <w:pStyle w:val="ListParagraph"/>
        <w:numPr>
          <w:ilvl w:val="0"/>
          <w:numId w:val="3"/>
        </w:numPr>
        <w:spacing w:after="60"/>
      </w:pPr>
      <w:r>
        <w:rPr>
          <w:rFonts w:ascii="Arial" w:cs="Arial" w:eastAsia="Arial" w:hAnsi="Arial"/>
          <w:sz w:val="22"/>
          <w:szCs w:val="22"/>
        </w:rPr>
        <w:t xml:space="preserve">If extension/relocation: re-enter Site Hunting workflow with revised SR; new TSSR target +10 working days per MLA Cl. 3.2(c).</w:t>
      </w:r>
    </w:p>
    <w:p>
      <w:pPr>
        <w:pStyle w:val="ListParagraph"/>
        <w:numPr>
          <w:ilvl w:val="0"/>
          <w:numId w:val="3"/>
        </w:numPr>
        <w:spacing w:after="60"/>
      </w:pPr>
      <w:r>
        <w:rPr>
          <w:rFonts w:ascii="Arial" w:cs="Arial" w:eastAsia="Arial" w:hAnsi="Arial"/>
          <w:sz w:val="22"/>
          <w:szCs w:val="22"/>
        </w:rPr>
        <w:t xml:space="preserve">If withdrawn: site returned to MNO; pre-award spend recovery initiated per §5.4.</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Delay Extension Request (Cl. 3.1(c)) — When to File</w:t>
      </w:r>
    </w:p>
    <w:p>
      <w:pPr>
        <w:spacing w:after="80" w:before="0"/>
      </w:pPr>
      <w:r>
        <w:rPr>
          <w:rFonts w:ascii="Arial" w:cs="Arial" w:eastAsia="Arial" w:hAnsi="Arial"/>
        </w:rPr>
        <w:t xml:space="preserve">File a Delay Extension Request to PROTECT the SLA clock — separate from PSH classification — when delay is caused by:</w:t>
      </w:r>
    </w:p>
    <w:p>
      <w:pPr>
        <w:pStyle w:val="ListParagraph"/>
        <w:numPr>
          <w:ilvl w:val="0"/>
          <w:numId w:val="2"/>
        </w:numPr>
        <w:spacing w:after="60"/>
      </w:pPr>
      <w:r>
        <w:rPr>
          <w:rFonts w:ascii="Arial" w:cs="Arial" w:eastAsia="Arial" w:hAnsi="Arial"/>
          <w:sz w:val="22"/>
          <w:szCs w:val="22"/>
        </w:rPr>
        <w:t xml:space="preserve">Genuine and unavoidable delay in obtaining any Required Consent (LGU, HOA, Coop).</w:t>
      </w:r>
    </w:p>
    <w:p>
      <w:pPr>
        <w:pStyle w:val="ListParagraph"/>
        <w:numPr>
          <w:ilvl w:val="0"/>
          <w:numId w:val="2"/>
        </w:numPr>
        <w:spacing w:after="60"/>
      </w:pPr>
      <w:r>
        <w:rPr>
          <w:rFonts w:ascii="Arial" w:cs="Arial" w:eastAsia="Arial" w:hAnsi="Arial"/>
          <w:sz w:val="22"/>
          <w:szCs w:val="22"/>
        </w:rPr>
        <w:t xml:space="preserve">Bad weather (typhoon, prolonged monsoon flooding documented by PAGASA bulletin).</w:t>
      </w:r>
    </w:p>
    <w:p>
      <w:pPr>
        <w:pStyle w:val="ListParagraph"/>
        <w:numPr>
          <w:ilvl w:val="0"/>
          <w:numId w:val="2"/>
        </w:numPr>
        <w:spacing w:after="60"/>
      </w:pPr>
      <w:r>
        <w:rPr>
          <w:rFonts w:ascii="Arial" w:cs="Arial" w:eastAsia="Arial" w:hAnsi="Arial"/>
          <w:sz w:val="22"/>
          <w:szCs w:val="22"/>
        </w:rPr>
        <w:t xml:space="preserve">Public/festive holidays affecting LGU office availability.</w:t>
      </w:r>
    </w:p>
    <w:p>
      <w:pPr>
        <w:pStyle w:val="ListParagraph"/>
        <w:numPr>
          <w:ilvl w:val="0"/>
          <w:numId w:val="2"/>
        </w:numPr>
        <w:spacing w:after="60"/>
      </w:pPr>
      <w:r>
        <w:rPr>
          <w:rFonts w:ascii="Arial" w:cs="Arial" w:eastAsia="Arial" w:hAnsi="Arial"/>
          <w:sz w:val="22"/>
          <w:szCs w:val="22"/>
        </w:rPr>
        <w:t xml:space="preserve">Geological conditions (unusually rocky soil, water table issues — SBT/SI report required).</w:t>
      </w:r>
    </w:p>
    <w:p>
      <w:pPr>
        <w:spacing w:after="120" w:before="0"/>
      </w:pPr>
      <w:r>
        <w:rPr>
          <w:rFonts w:ascii="Arial" w:cs="Arial" w:eastAsia="Arial" w:hAnsi="Arial"/>
        </w:rPr>
        <w:t xml:space="preserve"/>
      </w:r>
    </w:p>
    <w:p>
      <w:pPr>
        <w:spacing w:after="120" w:before="0"/>
      </w:pPr>
      <w:r>
        <w:rPr>
          <w:rFonts w:ascii="Arial" w:cs="Arial" w:eastAsia="Arial" w:hAnsi="Arial"/>
          <w:i/>
          <w:iCs/>
        </w:rPr>
        <w:t xml:space="preserve">Request must include: written notice, reasonable documentation, and detailed reasons. Operator has 5 Working Days to approve (approval not unreasonably withheld) OR commence good-faith discussion. Silence beyond the 5 WD window means the period is excluded from the Delivery Period (Cl. 3.1(c)(b)).</w:t>
      </w:r>
    </w:p>
    <w:p>
      <w:pPr>
        <w:pStyle w:val="Heading2"/>
        <w:spacing w:after="180" w:before="240"/>
      </w:pPr>
      <w:r>
        <w:rPr>
          <w:rFonts w:ascii="Arial" w:cs="Arial" w:eastAsia="Arial" w:hAnsi="Arial"/>
        </w:rPr>
        <w:t xml:space="preserve">2.8 Risk Build Authorization Policy</w:t>
      </w:r>
    </w:p>
    <w:p>
      <w:pPr>
        <w:spacing w:after="120" w:before="0"/>
      </w:pPr>
      <w:r>
        <w:rPr>
          <w:rFonts w:ascii="Arial" w:cs="Arial" w:eastAsia="Arial" w:hAnsi="Arial"/>
        </w:rPr>
        <w:t xml:space="preserve">A "Risk Build" is a decision to proceed with construction mobilization (SKOM) BEFORE the Building Permit is issued, when (a) the Locational/Zoning Clearance has been secured, AND (b) Building Permit issuance is reasonably predictable based on LGU posture, AND (c) the time savings materially protect the 120-day SLA.</w:t>
      </w:r>
    </w:p>
    <w:p>
      <w:pPr>
        <w:pStyle w:val="Heading3"/>
        <w:spacing w:after="120" w:before="180"/>
      </w:pPr>
      <w:r>
        <w:rPr>
          <w:rFonts w:ascii="Arial" w:cs="Arial" w:eastAsia="Arial" w:hAnsi="Arial"/>
        </w:rPr>
        <w:t xml:space="preserve">Risk Build Authorization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Pre-Condition</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Required Evidence</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Approver</w:t>
            </w:r>
          </w:p>
        </w:tc>
        <w:tc>
          <w:tcPr>
            <w:tcW w:type="dxa" w:w="2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Max Authorized Spend</w:t>
            </w:r>
          </w:p>
        </w:tc>
      </w:tr>
      <w:tr>
        <w:tc>
          <w:tcPr>
            <w:tcW w:type="dxa" w:w="2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Locational/Zoning Clearance secured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Stamped clearance document</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CME Manager + SAQ Manager</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Up to SKOM mobilization cost</w:t>
            </w:r>
          </w:p>
        </w:tc>
      </w:tr>
      <w:tr>
        <w:tc>
          <w:tcPr>
            <w:tcW w:type="dxa" w:w="2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LGU verbal/written assurance of BP within 7 days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LGU letter or PSH-logged call note + LGU contact name</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Engineering Director</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Foundation works</w:t>
            </w:r>
          </w:p>
        </w:tc>
      </w:tr>
      <w:tr>
        <w:tc>
          <w:tcPr>
            <w:tcW w:type="dxa" w:w="2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Foundation and tower erection (no permit yet)</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Risk Build memo with SLA impact analysis + LGU non-objection email</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COO sign-off</w:t>
            </w:r>
          </w:p>
        </w:tc>
        <w:tc>
          <w:tcPr>
            <w:tcW w:type="dxa" w:w="2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Tower erection (no DC install)</w:t>
            </w:r>
          </w:p>
        </w:tc>
      </w:tr>
      <w:tr>
        <w:tc>
          <w:tcPr>
            <w:tcW w:type="dxa" w:w="25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Full construction-to-RFTI w/o BP</w:t>
            </w:r>
          </w:p>
        </w:tc>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Exceptional circumstance memo + MNO awareness + legal opinion</w:t>
            </w:r>
          </w:p>
        </w:tc>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CEO / ManCom</w:t>
            </w:r>
          </w:p>
        </w:tc>
        <w:tc>
          <w:tcPr>
            <w:tcW w:type="dxa" w:w="246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Case-by-case</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Risk Build Hard Stops — NEVER Authorize When:</w:t>
      </w:r>
    </w:p>
    <w:p>
      <w:pPr>
        <w:pStyle w:val="ListParagraph"/>
        <w:numPr>
          <w:ilvl w:val="0"/>
          <w:numId w:val="2"/>
        </w:numPr>
        <w:spacing w:after="60"/>
      </w:pPr>
      <w:r>
        <w:rPr>
          <w:rFonts w:ascii="Arial" w:cs="Arial" w:eastAsia="Arial" w:hAnsi="Arial"/>
          <w:sz w:val="22"/>
          <w:szCs w:val="22"/>
        </w:rPr>
        <w:t xml:space="preserve">Locational/Zoning Clearance has been DENIED (not just pending).</w:t>
      </w:r>
    </w:p>
    <w:p>
      <w:pPr>
        <w:pStyle w:val="ListParagraph"/>
        <w:numPr>
          <w:ilvl w:val="0"/>
          <w:numId w:val="2"/>
        </w:numPr>
        <w:spacing w:after="60"/>
      </w:pPr>
      <w:r>
        <w:rPr>
          <w:rFonts w:ascii="Arial" w:cs="Arial" w:eastAsia="Arial" w:hAnsi="Arial"/>
          <w:sz w:val="22"/>
          <w:szCs w:val="22"/>
        </w:rPr>
        <w:t xml:space="preserve">Active opposition from neighbors or barangay officials.</w:t>
      </w:r>
    </w:p>
    <w:p>
      <w:pPr>
        <w:pStyle w:val="ListParagraph"/>
        <w:numPr>
          <w:ilvl w:val="0"/>
          <w:numId w:val="2"/>
        </w:numPr>
        <w:spacing w:after="60"/>
      </w:pPr>
      <w:r>
        <w:rPr>
          <w:rFonts w:ascii="Arial" w:cs="Arial" w:eastAsia="Arial" w:hAnsi="Arial"/>
          <w:sz w:val="22"/>
          <w:szCs w:val="22"/>
        </w:rPr>
        <w:t xml:space="preserve">DENR ECC required and not yet processed.</w:t>
      </w:r>
    </w:p>
    <w:p>
      <w:pPr>
        <w:pStyle w:val="ListParagraph"/>
        <w:numPr>
          <w:ilvl w:val="0"/>
          <w:numId w:val="2"/>
        </w:numPr>
        <w:spacing w:after="60"/>
      </w:pPr>
      <w:r>
        <w:rPr>
          <w:rFonts w:ascii="Arial" w:cs="Arial" w:eastAsia="Arial" w:hAnsi="Arial"/>
          <w:sz w:val="22"/>
          <w:szCs w:val="22"/>
        </w:rPr>
        <w:t xml:space="preserve">Heritage / NCIP / CAAP clearances triggered and not resolved.</w:t>
      </w:r>
    </w:p>
    <w:p>
      <w:pPr>
        <w:pStyle w:val="ListParagraph"/>
        <w:numPr>
          <w:ilvl w:val="0"/>
          <w:numId w:val="2"/>
        </w:numPr>
        <w:spacing w:after="60"/>
      </w:pPr>
      <w:r>
        <w:rPr>
          <w:rFonts w:ascii="Arial" w:cs="Arial" w:eastAsia="Arial" w:hAnsi="Arial"/>
          <w:sz w:val="22"/>
          <w:szCs w:val="22"/>
        </w:rPr>
        <w:t xml:space="preserve">Title defect or pending litigation on the property.</w:t>
      </w:r>
    </w:p>
    <w:p>
      <w:pPr>
        <w:pStyle w:val="ListParagraph"/>
        <w:numPr>
          <w:ilvl w:val="0"/>
          <w:numId w:val="2"/>
        </w:numPr>
        <w:spacing w:after="60"/>
      </w:pPr>
      <w:r>
        <w:rPr>
          <w:rFonts w:ascii="Arial" w:cs="Arial" w:eastAsia="Arial" w:hAnsi="Arial"/>
          <w:sz w:val="22"/>
          <w:szCs w:val="22"/>
        </w:rPr>
        <w:t xml:space="preserve">Risk Build would require remediation cost exceeding the SLA penalty exposure.</w:t>
      </w:r>
    </w:p>
    <w:p>
      <w:pPr>
        <w:pStyle w:val="Heading1"/>
        <w:pageBreakBefore/>
        <w:spacing w:after="240" w:before="240"/>
      </w:pPr>
      <w:r>
        <w:rPr>
          <w:rFonts w:ascii="Arial" w:cs="Arial" w:eastAsia="Arial" w:hAnsi="Arial"/>
        </w:rPr>
        <w:t xml:space="preserve">3. Engineering — Design Manager</w:t>
      </w:r>
    </w:p>
    <w:p>
      <w:pPr>
        <w:pStyle w:val="Heading2"/>
        <w:spacing w:after="180" w:before="240"/>
      </w:pPr>
      <w:r>
        <w:rPr>
          <w:rFonts w:ascii="Arial" w:cs="Arial" w:eastAsia="Arial" w:hAnsi="Arial"/>
        </w:rPr>
        <w:t xml:space="preserve">3.1 Scope &amp; Mandate</w:t>
      </w:r>
    </w:p>
    <w:p>
      <w:pPr>
        <w:spacing w:after="120" w:before="0"/>
      </w:pPr>
      <w:r>
        <w:rPr>
          <w:rFonts w:ascii="Arial" w:cs="Arial" w:eastAsia="Arial" w:hAnsi="Arial"/>
        </w:rPr>
        <w:t xml:space="preserve">The Design Manager owns the Pre-Construction Phase (Days 29–45): geotechnical and structural validation, detailed design drawings (DDD), Bill of Quantities (BOQ), and engineering approval gating into Permitting and Construction. Errors here propagate as Variation Orders downstream, eroding margin and SLA.</w:t>
      </w:r>
    </w:p>
    <w:p>
      <w:pPr>
        <w:pStyle w:val="Heading2"/>
        <w:spacing w:after="180" w:before="240"/>
      </w:pPr>
      <w:r>
        <w:rPr>
          <w:rFonts w:ascii="Arial" w:cs="Arial" w:eastAsia="Arial" w:hAnsi="Arial"/>
        </w:rPr>
        <w:t xml:space="preserve">3.2 Pre-Construction Testing Checklist</w:t>
      </w:r>
    </w:p>
    <w:p>
      <w:pPr>
        <w:pStyle w:val="Heading3"/>
        <w:spacing w:after="120" w:before="180"/>
      </w:pPr>
      <w:r>
        <w:rPr>
          <w:rFonts w:ascii="Arial" w:cs="Arial" w:eastAsia="Arial" w:hAnsi="Arial"/>
        </w:rPr>
        <w:t xml:space="preserve">Soil Boring Test (SBT)</w:t>
      </w:r>
    </w:p>
    <w:p>
      <w:pPr>
        <w:spacing w:after="60"/>
        <w:ind w:left="360"/>
      </w:pPr>
      <w:r>
        <w:rPr>
          <w:rFonts w:ascii="Arial" w:cs="Arial" w:eastAsia="Arial" w:hAnsi="Arial"/>
          <w:sz w:val="22"/>
          <w:szCs w:val="22"/>
        </w:rPr>
        <w:t xml:space="preserve">☐  SBT vendor mobilized within 3 days of TSSR approval.</w:t>
      </w:r>
    </w:p>
    <w:p>
      <w:pPr>
        <w:spacing w:after="60"/>
        <w:ind w:left="360"/>
      </w:pPr>
      <w:r>
        <w:rPr>
          <w:rFonts w:ascii="Arial" w:cs="Arial" w:eastAsia="Arial" w:hAnsi="Arial"/>
          <w:sz w:val="22"/>
          <w:szCs w:val="22"/>
        </w:rPr>
        <w:t xml:space="preserve">☐  Minimum 1 boring per tower footprint; depth per geotechnical engineer's specification (typically 15–30m, deeper for soft/fill soils).</w:t>
      </w:r>
    </w:p>
    <w:p>
      <w:pPr>
        <w:spacing w:after="60"/>
        <w:ind w:left="360"/>
      </w:pPr>
      <w:r>
        <w:rPr>
          <w:rFonts w:ascii="Arial" w:cs="Arial" w:eastAsia="Arial" w:hAnsi="Arial"/>
          <w:sz w:val="22"/>
          <w:szCs w:val="22"/>
        </w:rPr>
        <w:t xml:space="preserve">☐  Boring locations marked relative to traverse survey.</w:t>
      </w:r>
    </w:p>
    <w:p>
      <w:pPr>
        <w:spacing w:after="60"/>
        <w:ind w:left="360"/>
      </w:pPr>
      <w:r>
        <w:rPr>
          <w:rFonts w:ascii="Arial" w:cs="Arial" w:eastAsia="Arial" w:hAnsi="Arial"/>
          <w:sz w:val="22"/>
          <w:szCs w:val="22"/>
        </w:rPr>
        <w:t xml:space="preserve">☐  Standard Penetration Test (SPT) blow counts recorded per layer.</w:t>
      </w:r>
    </w:p>
    <w:p>
      <w:pPr>
        <w:spacing w:after="60"/>
        <w:ind w:left="360"/>
      </w:pPr>
      <w:r>
        <w:rPr>
          <w:rFonts w:ascii="Arial" w:cs="Arial" w:eastAsia="Arial" w:hAnsi="Arial"/>
          <w:sz w:val="22"/>
          <w:szCs w:val="22"/>
        </w:rPr>
        <w:t xml:space="preserve">☐  Soil samples (disturbed + undisturbed) collected and labeled.</w:t>
      </w:r>
    </w:p>
    <w:p>
      <w:pPr>
        <w:spacing w:after="60"/>
        <w:ind w:left="360"/>
      </w:pPr>
      <w:r>
        <w:rPr>
          <w:rFonts w:ascii="Arial" w:cs="Arial" w:eastAsia="Arial" w:hAnsi="Arial"/>
          <w:sz w:val="22"/>
          <w:szCs w:val="22"/>
        </w:rPr>
        <w:t xml:space="preserve">☐  Laboratory tests performed: moisture content, Atterberg limits, grain size, unconfined compressive strength.</w:t>
      </w:r>
    </w:p>
    <w:p>
      <w:pPr>
        <w:spacing w:after="60"/>
        <w:ind w:left="360"/>
      </w:pPr>
      <w:r>
        <w:rPr>
          <w:rFonts w:ascii="Arial" w:cs="Arial" w:eastAsia="Arial" w:hAnsi="Arial"/>
          <w:sz w:val="22"/>
          <w:szCs w:val="22"/>
        </w:rPr>
        <w:t xml:space="preserve">☐  Water table depth recorded.</w:t>
      </w:r>
    </w:p>
    <w:p>
      <w:pPr>
        <w:spacing w:after="60"/>
        <w:ind w:left="360"/>
      </w:pPr>
      <w:r>
        <w:rPr>
          <w:rFonts w:ascii="Arial" w:cs="Arial" w:eastAsia="Arial" w:hAnsi="Arial"/>
          <w:sz w:val="22"/>
          <w:szCs w:val="22"/>
        </w:rPr>
        <w:t xml:space="preserve">☐  Geotechnical Investigation Report issued, sealed by licensed geotechnical engineer.</w:t>
      </w:r>
    </w:p>
    <w:p>
      <w:pPr>
        <w:spacing w:after="60"/>
        <w:ind w:left="360"/>
      </w:pPr>
      <w:r>
        <w:rPr>
          <w:rFonts w:ascii="Arial" w:cs="Arial" w:eastAsia="Arial" w:hAnsi="Arial"/>
          <w:sz w:val="22"/>
          <w:szCs w:val="22"/>
        </w:rPr>
        <w:t xml:space="preserve">☐  Report received within 10 working days of mobilization.</w:t>
      </w:r>
    </w:p>
    <w:p>
      <w:pPr>
        <w:pStyle w:val="Heading3"/>
        <w:spacing w:after="120" w:before="180"/>
      </w:pPr>
      <w:r>
        <w:rPr>
          <w:rFonts w:ascii="Arial" w:cs="Arial" w:eastAsia="Arial" w:hAnsi="Arial"/>
        </w:rPr>
        <w:t xml:space="preserve">Structural Investigation (SI) — Rooftop / Colocation</w:t>
      </w:r>
    </w:p>
    <w:p>
      <w:pPr>
        <w:spacing w:after="60"/>
        <w:ind w:left="360"/>
      </w:pPr>
      <w:r>
        <w:rPr>
          <w:rFonts w:ascii="Arial" w:cs="Arial" w:eastAsia="Arial" w:hAnsi="Arial"/>
          <w:sz w:val="22"/>
          <w:szCs w:val="22"/>
        </w:rPr>
        <w:t xml:space="preserve">☐  Existing structural drawings obtained from building owner (or measured if unavailable).</w:t>
      </w:r>
    </w:p>
    <w:p>
      <w:pPr>
        <w:spacing w:after="60"/>
        <w:ind w:left="360"/>
      </w:pPr>
      <w:r>
        <w:rPr>
          <w:rFonts w:ascii="Arial" w:cs="Arial" w:eastAsia="Arial" w:hAnsi="Arial"/>
          <w:sz w:val="22"/>
          <w:szCs w:val="22"/>
        </w:rPr>
        <w:t xml:space="preserve">☐  As-built verification on-site: column dimensions, beam sizes, slab thickness.</w:t>
      </w:r>
    </w:p>
    <w:p>
      <w:pPr>
        <w:spacing w:after="60"/>
        <w:ind w:left="360"/>
      </w:pPr>
      <w:r>
        <w:rPr>
          <w:rFonts w:ascii="Arial" w:cs="Arial" w:eastAsia="Arial" w:hAnsi="Arial"/>
          <w:sz w:val="22"/>
          <w:szCs w:val="22"/>
        </w:rPr>
        <w:t xml:space="preserve">☐  Concrete core sampling if drawings unavailable or building &gt;20 years old.</w:t>
      </w:r>
    </w:p>
    <w:p>
      <w:pPr>
        <w:spacing w:after="60"/>
        <w:ind w:left="360"/>
      </w:pPr>
      <w:r>
        <w:rPr>
          <w:rFonts w:ascii="Arial" w:cs="Arial" w:eastAsia="Arial" w:hAnsi="Arial"/>
          <w:sz w:val="22"/>
          <w:szCs w:val="22"/>
        </w:rPr>
        <w:t xml:space="preserve">☐  Rebar scanning (Ferroscan) to verify reinforcement.</w:t>
      </w:r>
    </w:p>
    <w:p>
      <w:pPr>
        <w:spacing w:after="60"/>
        <w:ind w:left="360"/>
      </w:pPr>
      <w:r>
        <w:rPr>
          <w:rFonts w:ascii="Arial" w:cs="Arial" w:eastAsia="Arial" w:hAnsi="Arial"/>
          <w:sz w:val="22"/>
          <w:szCs w:val="22"/>
        </w:rPr>
        <w:t xml:space="preserve">☐  Structural analysis: existing capacity vs. proposed tower load + wind load (per NSCP / ASCE 7).</w:t>
      </w:r>
    </w:p>
    <w:p>
      <w:pPr>
        <w:spacing w:after="60"/>
        <w:ind w:left="360"/>
      </w:pPr>
      <w:r>
        <w:rPr>
          <w:rFonts w:ascii="Arial" w:cs="Arial" w:eastAsia="Arial" w:hAnsi="Arial"/>
          <w:sz w:val="22"/>
          <w:szCs w:val="22"/>
        </w:rPr>
        <w:t xml:space="preserve">☐  Reinforcement design if existing capacity insufficient.</w:t>
      </w:r>
    </w:p>
    <w:p>
      <w:pPr>
        <w:spacing w:after="60"/>
        <w:ind w:left="360"/>
      </w:pPr>
      <w:r>
        <w:rPr>
          <w:rFonts w:ascii="Arial" w:cs="Arial" w:eastAsia="Arial" w:hAnsi="Arial"/>
          <w:sz w:val="22"/>
          <w:szCs w:val="22"/>
        </w:rPr>
        <w:t xml:space="preserve">☐  SI Report sealed by licensed structural engineer.</w:t>
      </w:r>
    </w:p>
    <w:p>
      <w:pPr>
        <w:pStyle w:val="Heading3"/>
        <w:spacing w:after="120" w:before="180"/>
      </w:pPr>
      <w:r>
        <w:rPr>
          <w:rFonts w:ascii="Arial" w:cs="Arial" w:eastAsia="Arial" w:hAnsi="Arial"/>
        </w:rPr>
        <w:t xml:space="preserve">Lot Segregation &amp; Traverse Survey</w:t>
      </w:r>
    </w:p>
    <w:p>
      <w:pPr>
        <w:spacing w:after="60"/>
        <w:ind w:left="360"/>
      </w:pPr>
      <w:r>
        <w:rPr>
          <w:rFonts w:ascii="Arial" w:cs="Arial" w:eastAsia="Arial" w:hAnsi="Arial"/>
          <w:sz w:val="22"/>
          <w:szCs w:val="22"/>
        </w:rPr>
        <w:t xml:space="preserve">☐  Geodetic engineer engaged; mobilized within 3 days of TSSR approval.</w:t>
      </w:r>
    </w:p>
    <w:p>
      <w:pPr>
        <w:spacing w:after="60"/>
        <w:ind w:left="360"/>
      </w:pPr>
      <w:r>
        <w:rPr>
          <w:rFonts w:ascii="Arial" w:cs="Arial" w:eastAsia="Arial" w:hAnsi="Arial"/>
          <w:sz w:val="22"/>
          <w:szCs w:val="22"/>
        </w:rPr>
        <w:t xml:space="preserve">☐  Traverse survey performed; lot boundaries verified against TCT.</w:t>
      </w:r>
    </w:p>
    <w:p>
      <w:pPr>
        <w:spacing w:after="60"/>
        <w:ind w:left="360"/>
      </w:pPr>
      <w:r>
        <w:rPr>
          <w:rFonts w:ascii="Arial" w:cs="Arial" w:eastAsia="Arial" w:hAnsi="Arial"/>
          <w:sz w:val="22"/>
          <w:szCs w:val="22"/>
        </w:rPr>
        <w:t xml:space="preserve">☐  Lot segregation plan prepared if leased portion &lt; total title.</w:t>
      </w:r>
    </w:p>
    <w:p>
      <w:pPr>
        <w:spacing w:after="60"/>
        <w:ind w:left="360"/>
      </w:pPr>
      <w:r>
        <w:rPr>
          <w:rFonts w:ascii="Arial" w:cs="Arial" w:eastAsia="Arial" w:hAnsi="Arial"/>
          <w:sz w:val="22"/>
          <w:szCs w:val="22"/>
        </w:rPr>
        <w:t xml:space="preserve">☐  DENR-LMB / DAR approval obtained for segregation (where required).</w:t>
      </w:r>
    </w:p>
    <w:p>
      <w:pPr>
        <w:spacing w:after="60"/>
        <w:ind w:left="360"/>
      </w:pPr>
      <w:r>
        <w:rPr>
          <w:rFonts w:ascii="Arial" w:cs="Arial" w:eastAsia="Arial" w:hAnsi="Arial"/>
          <w:sz w:val="22"/>
          <w:szCs w:val="22"/>
        </w:rPr>
        <w:t xml:space="preserve">☐  New TCT for leased portion processed (long-form leases only).</w:t>
      </w:r>
    </w:p>
    <w:p>
      <w:pPr>
        <w:pStyle w:val="Heading2"/>
        <w:spacing w:after="180" w:before="240"/>
      </w:pPr>
      <w:r>
        <w:rPr>
          <w:rFonts w:ascii="Arial" w:cs="Arial" w:eastAsia="Arial" w:hAnsi="Arial"/>
        </w:rPr>
        <w:t xml:space="preserve">3.3 Detailed Design Drawing (DDD) Validation Checklist</w:t>
      </w:r>
    </w:p>
    <w:p>
      <w:pPr>
        <w:spacing w:after="120" w:before="0"/>
      </w:pPr>
      <w:r>
        <w:rPr>
          <w:rFonts w:ascii="Arial" w:cs="Arial" w:eastAsia="Arial" w:hAnsi="Arial"/>
          <w:i/>
          <w:iCs/>
        </w:rPr>
        <w:t xml:space="preserve">Per MLA Clause 3.2(f), DDD Checklist must be provided to Operator within 5 Working Days of TSSR approval (Schedule 4 Part G).</w:t>
      </w:r>
    </w:p>
    <w:p>
      <w:pPr>
        <w:pStyle w:val="Heading3"/>
        <w:spacing w:after="120" w:before="180"/>
      </w:pPr>
      <w:r>
        <w:rPr>
          <w:rFonts w:ascii="Arial" w:cs="Arial" w:eastAsia="Arial" w:hAnsi="Arial"/>
        </w:rPr>
        <w:t xml:space="preserve">Drawing Set Completeness</w:t>
      </w:r>
    </w:p>
    <w:p>
      <w:pPr>
        <w:spacing w:after="60"/>
        <w:ind w:left="360"/>
      </w:pPr>
      <w:r>
        <w:rPr>
          <w:rFonts w:ascii="Arial" w:cs="Arial" w:eastAsia="Arial" w:hAnsi="Arial"/>
          <w:sz w:val="22"/>
          <w:szCs w:val="22"/>
        </w:rPr>
        <w:t xml:space="preserve">☐  Architectural plans (site layout, plan, elevations, sections).</w:t>
      </w:r>
    </w:p>
    <w:p>
      <w:pPr>
        <w:spacing w:after="60"/>
        <w:ind w:left="360"/>
      </w:pPr>
      <w:r>
        <w:rPr>
          <w:rFonts w:ascii="Arial" w:cs="Arial" w:eastAsia="Arial" w:hAnsi="Arial"/>
          <w:sz w:val="22"/>
          <w:szCs w:val="22"/>
        </w:rPr>
        <w:t xml:space="preserve">☐  Structural plans (foundation, tower assembly, anchor bolt details, reinforcement schedules).</w:t>
      </w:r>
    </w:p>
    <w:p>
      <w:pPr>
        <w:spacing w:after="60"/>
        <w:ind w:left="360"/>
      </w:pPr>
      <w:r>
        <w:rPr>
          <w:rFonts w:ascii="Arial" w:cs="Arial" w:eastAsia="Arial" w:hAnsi="Arial"/>
          <w:sz w:val="22"/>
          <w:szCs w:val="22"/>
        </w:rPr>
        <w:t xml:space="preserve">☐  Electrical plans (single-line diagram, grounding, lightning protection, AC distribution, DC plant).</w:t>
      </w:r>
    </w:p>
    <w:p>
      <w:pPr>
        <w:spacing w:after="60"/>
        <w:ind w:left="360"/>
      </w:pPr>
      <w:r>
        <w:rPr>
          <w:rFonts w:ascii="Arial" w:cs="Arial" w:eastAsia="Arial" w:hAnsi="Arial"/>
          <w:sz w:val="22"/>
          <w:szCs w:val="22"/>
        </w:rPr>
        <w:t xml:space="preserve">☐  Mechanical plans (HVAC for shelter, generator pad if applicable).</w:t>
      </w:r>
    </w:p>
    <w:p>
      <w:pPr>
        <w:spacing w:after="60"/>
        <w:ind w:left="360"/>
      </w:pPr>
      <w:r>
        <w:rPr>
          <w:rFonts w:ascii="Arial" w:cs="Arial" w:eastAsia="Arial" w:hAnsi="Arial"/>
          <w:sz w:val="22"/>
          <w:szCs w:val="22"/>
        </w:rPr>
        <w:t xml:space="preserve">☐  Sanitary/plumbing plans (if shelter has comfort facilities).</w:t>
      </w:r>
    </w:p>
    <w:p>
      <w:pPr>
        <w:spacing w:after="60"/>
        <w:ind w:left="360"/>
      </w:pPr>
      <w:r>
        <w:rPr>
          <w:rFonts w:ascii="Arial" w:cs="Arial" w:eastAsia="Arial" w:hAnsi="Arial"/>
          <w:sz w:val="22"/>
          <w:szCs w:val="22"/>
        </w:rPr>
        <w:t xml:space="preserve">☐  Fire protection plans (per BFP requirements).</w:t>
      </w:r>
    </w:p>
    <w:p>
      <w:pPr>
        <w:spacing w:after="60"/>
        <w:ind w:left="360"/>
      </w:pPr>
      <w:r>
        <w:rPr>
          <w:rFonts w:ascii="Arial" w:cs="Arial" w:eastAsia="Arial" w:hAnsi="Arial"/>
          <w:sz w:val="22"/>
          <w:szCs w:val="22"/>
        </w:rPr>
        <w:t xml:space="preserve">☐  Site development (drainage, fencing, gate, access road, ROW route).</w:t>
      </w:r>
    </w:p>
    <w:p>
      <w:pPr>
        <w:pStyle w:val="Heading3"/>
        <w:spacing w:after="120" w:before="180"/>
      </w:pPr>
      <w:r>
        <w:rPr>
          <w:rFonts w:ascii="Arial" w:cs="Arial" w:eastAsia="Arial" w:hAnsi="Arial"/>
        </w:rPr>
        <w:t xml:space="preserve">Compliance Verification</w:t>
      </w:r>
    </w:p>
    <w:p>
      <w:pPr>
        <w:spacing w:after="60"/>
        <w:ind w:left="360"/>
      </w:pPr>
      <w:r>
        <w:rPr>
          <w:rFonts w:ascii="Arial" w:cs="Arial" w:eastAsia="Arial" w:hAnsi="Arial"/>
          <w:sz w:val="22"/>
          <w:szCs w:val="22"/>
        </w:rPr>
        <w:t xml:space="preserve">☐  Tower type matches TSSR (height, design load, wind zone).</w:t>
      </w:r>
    </w:p>
    <w:p>
      <w:pPr>
        <w:spacing w:after="60"/>
        <w:ind w:left="360"/>
      </w:pPr>
      <w:r>
        <w:rPr>
          <w:rFonts w:ascii="Arial" w:cs="Arial" w:eastAsia="Arial" w:hAnsi="Arial"/>
          <w:sz w:val="22"/>
          <w:szCs w:val="22"/>
        </w:rPr>
        <w:t xml:space="preserve">☐  Foundation design references SBT report; bearing capacity satisfied.</w:t>
      </w:r>
    </w:p>
    <w:p>
      <w:pPr>
        <w:spacing w:after="60"/>
        <w:ind w:left="360"/>
      </w:pPr>
      <w:r>
        <w:rPr>
          <w:rFonts w:ascii="Arial" w:cs="Arial" w:eastAsia="Arial" w:hAnsi="Arial"/>
          <w:sz w:val="22"/>
          <w:szCs w:val="22"/>
        </w:rPr>
        <w:t xml:space="preserve">☐  Anchor bolt design per tower manufacturer specification.</w:t>
      </w:r>
    </w:p>
    <w:p>
      <w:pPr>
        <w:spacing w:after="60"/>
        <w:ind w:left="360"/>
      </w:pPr>
      <w:r>
        <w:rPr>
          <w:rFonts w:ascii="Arial" w:cs="Arial" w:eastAsia="Arial" w:hAnsi="Arial"/>
          <w:sz w:val="22"/>
          <w:szCs w:val="22"/>
        </w:rPr>
        <w:t xml:space="preserve">☐  Wind load per NSCP 2015 / 2020 (zone-specific).</w:t>
      </w:r>
    </w:p>
    <w:p>
      <w:pPr>
        <w:spacing w:after="60"/>
        <w:ind w:left="360"/>
      </w:pPr>
      <w:r>
        <w:rPr>
          <w:rFonts w:ascii="Arial" w:cs="Arial" w:eastAsia="Arial" w:hAnsi="Arial"/>
          <w:sz w:val="22"/>
          <w:szCs w:val="22"/>
        </w:rPr>
        <w:t xml:space="preserve">☐  Seismic design per NSCP (Zone 2 or 4).</w:t>
      </w:r>
    </w:p>
    <w:p>
      <w:pPr>
        <w:spacing w:after="60"/>
        <w:ind w:left="360"/>
      </w:pPr>
      <w:r>
        <w:rPr>
          <w:rFonts w:ascii="Arial" w:cs="Arial" w:eastAsia="Arial" w:hAnsi="Arial"/>
          <w:sz w:val="22"/>
          <w:szCs w:val="22"/>
        </w:rPr>
        <w:t xml:space="preserve">☐  Lightning protection per PEC Article 280 / IEC 62305.</w:t>
      </w:r>
    </w:p>
    <w:p>
      <w:pPr>
        <w:spacing w:after="60"/>
        <w:ind w:left="360"/>
      </w:pPr>
      <w:r>
        <w:rPr>
          <w:rFonts w:ascii="Arial" w:cs="Arial" w:eastAsia="Arial" w:hAnsi="Arial"/>
          <w:sz w:val="22"/>
          <w:szCs w:val="22"/>
        </w:rPr>
        <w:t xml:space="preserve">☐  Grounding system designed for ≤5 ohms (≤1 ohm at coastal/sandy sites).</w:t>
      </w:r>
    </w:p>
    <w:p>
      <w:pPr>
        <w:spacing w:after="60"/>
        <w:ind w:left="360"/>
      </w:pPr>
      <w:r>
        <w:rPr>
          <w:rFonts w:ascii="Arial" w:cs="Arial" w:eastAsia="Arial" w:hAnsi="Arial"/>
          <w:sz w:val="22"/>
          <w:szCs w:val="22"/>
        </w:rPr>
        <w:t xml:space="preserve">☐  Drainage designed for 1:10-year rainfall (1:25 in flood-prone areas).</w:t>
      </w:r>
    </w:p>
    <w:p>
      <w:pPr>
        <w:spacing w:after="60"/>
        <w:ind w:left="360"/>
      </w:pPr>
      <w:r>
        <w:rPr>
          <w:rFonts w:ascii="Arial" w:cs="Arial" w:eastAsia="Arial" w:hAnsi="Arial"/>
          <w:sz w:val="22"/>
          <w:szCs w:val="22"/>
        </w:rPr>
        <w:t xml:space="preserve">☐  Setbacks comply with LGU zoning and DPWH NBC.</w:t>
      </w:r>
    </w:p>
    <w:p>
      <w:pPr>
        <w:pStyle w:val="Heading3"/>
        <w:spacing w:after="120" w:before="180"/>
      </w:pPr>
      <w:r>
        <w:rPr>
          <w:rFonts w:ascii="Arial" w:cs="Arial" w:eastAsia="Arial" w:hAnsi="Arial"/>
        </w:rPr>
        <w:t xml:space="preserve">Sign and Seal</w:t>
      </w:r>
    </w:p>
    <w:p>
      <w:pPr>
        <w:spacing w:after="60"/>
        <w:ind w:left="360"/>
      </w:pPr>
      <w:r>
        <w:rPr>
          <w:rFonts w:ascii="Arial" w:cs="Arial" w:eastAsia="Arial" w:hAnsi="Arial"/>
          <w:sz w:val="22"/>
          <w:szCs w:val="22"/>
        </w:rPr>
        <w:t xml:space="preserve">☐  All plans sign-and-sealed by appropriately licensed professionals (Architect, CE, EE, ME, Geotechnical, Geodetic).</w:t>
      </w:r>
    </w:p>
    <w:p>
      <w:pPr>
        <w:spacing w:after="60"/>
        <w:ind w:left="360"/>
      </w:pPr>
      <w:r>
        <w:rPr>
          <w:rFonts w:ascii="Arial" w:cs="Arial" w:eastAsia="Arial" w:hAnsi="Arial"/>
          <w:sz w:val="22"/>
          <w:szCs w:val="22"/>
        </w:rPr>
        <w:t xml:space="preserve">☐  Each professional's PRC ID and PTR attached.</w:t>
      </w:r>
    </w:p>
    <w:p>
      <w:pPr>
        <w:spacing w:after="60"/>
        <w:ind w:left="360"/>
      </w:pPr>
      <w:r>
        <w:rPr>
          <w:rFonts w:ascii="Arial" w:cs="Arial" w:eastAsia="Arial" w:hAnsi="Arial"/>
          <w:sz w:val="22"/>
          <w:szCs w:val="22"/>
        </w:rPr>
        <w:t xml:space="preserve">☐  DDD Checklist (Sched 4 Part G) completed and submitted to MNO within the 5 Working Day SLA.</w:t>
      </w:r>
    </w:p>
    <w:p>
      <w:pPr>
        <w:spacing w:after="60"/>
        <w:ind w:left="360"/>
      </w:pPr>
      <w:r>
        <w:rPr>
          <w:rFonts w:ascii="Arial" w:cs="Arial" w:eastAsia="Arial" w:hAnsi="Arial"/>
          <w:sz w:val="22"/>
          <w:szCs w:val="22"/>
        </w:rPr>
        <w:t xml:space="preserve">☐  Operator Notice to Proceed received within 10 Working Days of DDD/commercial proposal submission (per Cl. 3.2(f)).</w:t>
      </w:r>
    </w:p>
    <w:p>
      <w:pPr>
        <w:pStyle w:val="Heading2"/>
        <w:spacing w:after="180" w:before="240"/>
      </w:pPr>
      <w:r>
        <w:rPr>
          <w:rFonts w:ascii="Arial" w:cs="Arial" w:eastAsia="Arial" w:hAnsi="Arial"/>
        </w:rPr>
        <w:t xml:space="preserve">3.4 Bill of Quantities (BOQ) Validation Checklist</w:t>
      </w:r>
    </w:p>
    <w:p>
      <w:pPr>
        <w:spacing w:after="60"/>
        <w:ind w:left="360"/>
      </w:pPr>
      <w:r>
        <w:rPr>
          <w:rFonts w:ascii="Arial" w:cs="Arial" w:eastAsia="Arial" w:hAnsi="Arial"/>
          <w:sz w:val="22"/>
          <w:szCs w:val="22"/>
        </w:rPr>
        <w:t xml:space="preserve">☐  BOQ structured per CSI / standard work breakdown: Site prep, Foundation, Tower, Shelter, Electrical, Civil works, Site dev.</w:t>
      </w:r>
    </w:p>
    <w:p>
      <w:pPr>
        <w:spacing w:after="60"/>
        <w:ind w:left="360"/>
      </w:pPr>
      <w:r>
        <w:rPr>
          <w:rFonts w:ascii="Arial" w:cs="Arial" w:eastAsia="Arial" w:hAnsi="Arial"/>
          <w:sz w:val="22"/>
          <w:szCs w:val="22"/>
        </w:rPr>
        <w:t xml:space="preserve">☐  Each line item has: description, unit, quantity, unit rate, total.</w:t>
      </w:r>
    </w:p>
    <w:p>
      <w:pPr>
        <w:spacing w:after="60"/>
        <w:ind w:left="360"/>
      </w:pPr>
      <w:r>
        <w:rPr>
          <w:rFonts w:ascii="Arial" w:cs="Arial" w:eastAsia="Arial" w:hAnsi="Arial"/>
          <w:sz w:val="22"/>
          <w:szCs w:val="22"/>
        </w:rPr>
        <w:t xml:space="preserve">☐  Quantities reconcile with DDD takeoffs (independent QS verification).</w:t>
      </w:r>
    </w:p>
    <w:p>
      <w:pPr>
        <w:spacing w:after="60"/>
        <w:ind w:left="360"/>
      </w:pPr>
      <w:r>
        <w:rPr>
          <w:rFonts w:ascii="Arial" w:cs="Arial" w:eastAsia="Arial" w:hAnsi="Arial"/>
          <w:sz w:val="22"/>
          <w:szCs w:val="22"/>
        </w:rPr>
        <w:t xml:space="preserve">☐  Unit rates within ±10% of region-specific baseline (NCR/Luzon/Vis/Min benchmark).</w:t>
      </w:r>
    </w:p>
    <w:p>
      <w:pPr>
        <w:spacing w:after="60"/>
        <w:ind w:left="360"/>
      </w:pPr>
      <w:r>
        <w:rPr>
          <w:rFonts w:ascii="Arial" w:cs="Arial" w:eastAsia="Arial" w:hAnsi="Arial"/>
          <w:sz w:val="22"/>
          <w:szCs w:val="22"/>
        </w:rPr>
        <w:t xml:space="preserve">☐  Materials priced at current vendor quotes (not older than 30 days).</w:t>
      </w:r>
    </w:p>
    <w:p>
      <w:pPr>
        <w:spacing w:after="60"/>
        <w:ind w:left="360"/>
      </w:pPr>
      <w:r>
        <w:rPr>
          <w:rFonts w:ascii="Arial" w:cs="Arial" w:eastAsia="Arial" w:hAnsi="Arial"/>
          <w:sz w:val="22"/>
          <w:szCs w:val="22"/>
        </w:rPr>
        <w:t xml:space="preserve">☐  VAT and CWT treatment explicit.</w:t>
      </w:r>
    </w:p>
    <w:p>
      <w:pPr>
        <w:spacing w:after="60"/>
        <w:ind w:left="360"/>
      </w:pPr>
      <w:r>
        <w:rPr>
          <w:rFonts w:ascii="Arial" w:cs="Arial" w:eastAsia="Arial" w:hAnsi="Arial"/>
          <w:sz w:val="22"/>
          <w:szCs w:val="22"/>
        </w:rPr>
        <w:t xml:space="preserve">☐  Contingency line (typically 5–10%) shown separately.</w:t>
      </w:r>
    </w:p>
    <w:p>
      <w:pPr>
        <w:spacing w:after="60"/>
        <w:ind w:left="360"/>
      </w:pPr>
      <w:r>
        <w:rPr>
          <w:rFonts w:ascii="Arial" w:cs="Arial" w:eastAsia="Arial" w:hAnsi="Arial"/>
          <w:sz w:val="22"/>
          <w:szCs w:val="22"/>
        </w:rPr>
        <w:t xml:space="preserve">☐  Variation Order allowance NOT pre-baked into BOQ.</w:t>
      </w:r>
    </w:p>
    <w:p>
      <w:pPr>
        <w:spacing w:after="60"/>
        <w:ind w:left="360"/>
      </w:pPr>
      <w:r>
        <w:rPr>
          <w:rFonts w:ascii="Arial" w:cs="Arial" w:eastAsia="Arial" w:hAnsi="Arial"/>
          <w:sz w:val="22"/>
          <w:szCs w:val="22"/>
        </w:rPr>
        <w:t xml:space="preserve">☐  BOQ released to CME for PR creation only after BOQ Reviewer + Design Manager dual sign-off.</w:t>
      </w:r>
    </w:p>
    <w:p>
      <w:pPr>
        <w:pStyle w:val="Heading1"/>
        <w:pageBreakBefore/>
        <w:spacing w:after="240" w:before="240"/>
      </w:pPr>
      <w:r>
        <w:rPr>
          <w:rFonts w:ascii="Arial" w:cs="Arial" w:eastAsia="Arial" w:hAnsi="Arial"/>
        </w:rPr>
        <w:t xml:space="preserve">4. Engineering — CME (Civil, Mechanical, Electrical) Manager</w:t>
      </w:r>
    </w:p>
    <w:p>
      <w:pPr>
        <w:pStyle w:val="Heading2"/>
        <w:spacing w:after="180" w:before="240"/>
      </w:pPr>
      <w:r>
        <w:rPr>
          <w:rFonts w:ascii="Arial" w:cs="Arial" w:eastAsia="Arial" w:hAnsi="Arial"/>
        </w:rPr>
        <w:t xml:space="preserve">4.1 Scope &amp; Mandate</w:t>
      </w:r>
    </w:p>
    <w:p>
      <w:pPr>
        <w:spacing w:after="120" w:before="0"/>
      </w:pPr>
      <w:r>
        <w:rPr>
          <w:rFonts w:ascii="Arial" w:cs="Arial" w:eastAsia="Arial" w:hAnsi="Arial"/>
        </w:rPr>
        <w:t xml:space="preserve">CME owns the Construction Phase (Days 76–120): SKOM, mobilization, civil works, tower erection, electrical fit-out, DC plant installation, and RFTI submission. The 44-day construction lead time in the ATC Rollout Framework v2 is the most compressible phase — but also where safety, quality, and weather risk concentrate.</w:t>
      </w:r>
    </w:p>
    <w:p>
      <w:pPr>
        <w:pStyle w:val="Heading2"/>
        <w:spacing w:after="180" w:before="240"/>
      </w:pPr>
      <w:r>
        <w:rPr>
          <w:rFonts w:ascii="Arial" w:cs="Arial" w:eastAsia="Arial" w:hAnsi="Arial"/>
        </w:rPr>
        <w:t xml:space="preserve">4.2 Site Kick-Off Meeting (SKOM) Preparation Checklist</w:t>
      </w:r>
    </w:p>
    <w:p>
      <w:pPr>
        <w:pStyle w:val="Heading3"/>
        <w:spacing w:after="120" w:before="180"/>
      </w:pPr>
      <w:r>
        <w:rPr>
          <w:rFonts w:ascii="Arial" w:cs="Arial" w:eastAsia="Arial" w:hAnsi="Arial"/>
        </w:rPr>
        <w:t xml:space="preserve">Pre-SKOM (Internal, T-7 days)</w:t>
      </w:r>
    </w:p>
    <w:p>
      <w:pPr>
        <w:spacing w:after="60"/>
        <w:ind w:left="360"/>
      </w:pPr>
      <w:r>
        <w:rPr>
          <w:rFonts w:ascii="Arial" w:cs="Arial" w:eastAsia="Arial" w:hAnsi="Arial"/>
          <w:sz w:val="22"/>
          <w:szCs w:val="22"/>
        </w:rPr>
        <w:t xml:space="preserve">☐  Approved DDD, BOQ, and Foundation Design issued to CME contractor.</w:t>
      </w:r>
    </w:p>
    <w:p>
      <w:pPr>
        <w:spacing w:after="60"/>
        <w:ind w:left="360"/>
      </w:pPr>
      <w:r>
        <w:rPr>
          <w:rFonts w:ascii="Arial" w:cs="Arial" w:eastAsia="Arial" w:hAnsi="Arial"/>
          <w:sz w:val="22"/>
          <w:szCs w:val="22"/>
        </w:rPr>
        <w:t xml:space="preserve">☐  CME Purchase Order issued to contractor.</w:t>
      </w:r>
    </w:p>
    <w:p>
      <w:pPr>
        <w:spacing w:after="60"/>
        <w:ind w:left="360"/>
      </w:pPr>
      <w:r>
        <w:rPr>
          <w:rFonts w:ascii="Arial" w:cs="Arial" w:eastAsia="Arial" w:hAnsi="Arial"/>
          <w:sz w:val="22"/>
          <w:szCs w:val="22"/>
        </w:rPr>
        <w:t xml:space="preserve">☐  Tower material in transit / pre-staged; DC plant material confirmed available.</w:t>
      </w:r>
    </w:p>
    <w:p>
      <w:pPr>
        <w:spacing w:after="60"/>
        <w:ind w:left="360"/>
      </w:pPr>
      <w:r>
        <w:rPr>
          <w:rFonts w:ascii="Arial" w:cs="Arial" w:eastAsia="Arial" w:hAnsi="Arial"/>
          <w:sz w:val="22"/>
          <w:szCs w:val="22"/>
        </w:rPr>
        <w:t xml:space="preserve">☐  CME Project Manager and Site Engineer assigned and identified to contractor.</w:t>
      </w:r>
    </w:p>
    <w:p>
      <w:pPr>
        <w:spacing w:after="60"/>
        <w:ind w:left="360"/>
      </w:pPr>
      <w:r>
        <w:rPr>
          <w:rFonts w:ascii="Arial" w:cs="Arial" w:eastAsia="Arial" w:hAnsi="Arial"/>
          <w:sz w:val="22"/>
          <w:szCs w:val="22"/>
        </w:rPr>
        <w:t xml:space="preserve">☐  CME contractor's CSHP draft reviewed.</w:t>
      </w:r>
    </w:p>
    <w:p>
      <w:pPr>
        <w:spacing w:after="60"/>
        <w:ind w:left="360"/>
      </w:pPr>
      <w:r>
        <w:rPr>
          <w:rFonts w:ascii="Arial" w:cs="Arial" w:eastAsia="Arial" w:hAnsi="Arial"/>
          <w:sz w:val="22"/>
          <w:szCs w:val="22"/>
        </w:rPr>
        <w:t xml:space="preserve">☐  CME contractor's project schedule (Gantt) received; aligned to 44-day target.</w:t>
      </w:r>
    </w:p>
    <w:p>
      <w:pPr>
        <w:spacing w:after="60"/>
        <w:ind w:left="360"/>
      </w:pPr>
      <w:r>
        <w:rPr>
          <w:rFonts w:ascii="Arial" w:cs="Arial" w:eastAsia="Arial" w:hAnsi="Arial"/>
          <w:sz w:val="22"/>
          <w:szCs w:val="22"/>
        </w:rPr>
        <w:t xml:space="preserve">☐  Logistics plan reviewed (especially for inter-island or remote MIN/VIS sites).</w:t>
      </w:r>
    </w:p>
    <w:p>
      <w:pPr>
        <w:spacing w:after="60"/>
        <w:ind w:left="360"/>
      </w:pPr>
      <w:r>
        <w:rPr>
          <w:rFonts w:ascii="Arial" w:cs="Arial" w:eastAsia="Arial" w:hAnsi="Arial"/>
          <w:sz w:val="22"/>
          <w:szCs w:val="22"/>
        </w:rPr>
        <w:t xml:space="preserve">☐  Pre-SKOM coordination call held with SAQ, Engineering, Power, and PMO.</w:t>
      </w:r>
    </w:p>
    <w:p>
      <w:pPr>
        <w:pStyle w:val="Heading3"/>
        <w:spacing w:after="120" w:before="180"/>
      </w:pPr>
      <w:r>
        <w:rPr>
          <w:rFonts w:ascii="Arial" w:cs="Arial" w:eastAsia="Arial" w:hAnsi="Arial"/>
        </w:rPr>
        <w:t xml:space="preserve">SKOM Day</w:t>
      </w:r>
    </w:p>
    <w:p>
      <w:pPr>
        <w:spacing w:after="60"/>
        <w:ind w:left="360"/>
      </w:pPr>
      <w:r>
        <w:rPr>
          <w:rFonts w:ascii="Arial" w:cs="Arial" w:eastAsia="Arial" w:hAnsi="Arial"/>
          <w:sz w:val="22"/>
          <w:szCs w:val="22"/>
        </w:rPr>
        <w:t xml:space="preserve">☐  Attendees confirmed: TowerCo CME PM, Site Engineer, Safety Officer; CME Contractor PM, Site Foreman, Safety Officer; Lessor representative; Barangay representative; MNO representative (optional).</w:t>
      </w:r>
    </w:p>
    <w:p>
      <w:pPr>
        <w:spacing w:after="60"/>
        <w:ind w:left="360"/>
      </w:pPr>
      <w:r>
        <w:rPr>
          <w:rFonts w:ascii="Arial" w:cs="Arial" w:eastAsia="Arial" w:hAnsi="Arial"/>
          <w:sz w:val="22"/>
          <w:szCs w:val="22"/>
        </w:rPr>
        <w:t xml:space="preserve">☐  Site introduction walk-through completed.</w:t>
      </w:r>
    </w:p>
    <w:p>
      <w:pPr>
        <w:spacing w:after="60"/>
        <w:ind w:left="360"/>
      </w:pPr>
      <w:r>
        <w:rPr>
          <w:rFonts w:ascii="Arial" w:cs="Arial" w:eastAsia="Arial" w:hAnsi="Arial"/>
          <w:sz w:val="22"/>
          <w:szCs w:val="22"/>
        </w:rPr>
        <w:t xml:space="preserve">☐  Tower &amp; shelter location, gate location, ROW, drainage point, electrical tapping point identified on-ground.</w:t>
      </w:r>
    </w:p>
    <w:p>
      <w:pPr>
        <w:spacing w:after="60"/>
        <w:ind w:left="360"/>
      </w:pPr>
      <w:r>
        <w:rPr>
          <w:rFonts w:ascii="Arial" w:cs="Arial" w:eastAsia="Arial" w:hAnsi="Arial"/>
          <w:sz w:val="22"/>
          <w:szCs w:val="22"/>
        </w:rPr>
        <w:t xml:space="preserve">☐  Construction methodology reviewed: foundation excavation method, tower erection method (crane / falsework), DC plant installation sequence.</w:t>
      </w:r>
    </w:p>
    <w:p>
      <w:pPr>
        <w:spacing w:after="60"/>
        <w:ind w:left="360"/>
      </w:pPr>
      <w:r>
        <w:rPr>
          <w:rFonts w:ascii="Arial" w:cs="Arial" w:eastAsia="Arial" w:hAnsi="Arial"/>
          <w:sz w:val="22"/>
          <w:szCs w:val="22"/>
        </w:rPr>
        <w:t xml:space="preserve">☐  Storage and laydown area agreed.</w:t>
      </w:r>
    </w:p>
    <w:p>
      <w:pPr>
        <w:spacing w:after="60"/>
        <w:ind w:left="360"/>
      </w:pPr>
      <w:r>
        <w:rPr>
          <w:rFonts w:ascii="Arial" w:cs="Arial" w:eastAsia="Arial" w:hAnsi="Arial"/>
          <w:sz w:val="22"/>
          <w:szCs w:val="22"/>
        </w:rPr>
        <w:t xml:space="preserve">☐  Working hours agreed (LGU ordinance, lessor preference, neighbor consideration).</w:t>
      </w:r>
    </w:p>
    <w:p>
      <w:pPr>
        <w:spacing w:after="60"/>
        <w:ind w:left="360"/>
      </w:pPr>
      <w:r>
        <w:rPr>
          <w:rFonts w:ascii="Arial" w:cs="Arial" w:eastAsia="Arial" w:hAnsi="Arial"/>
          <w:sz w:val="22"/>
          <w:szCs w:val="22"/>
        </w:rPr>
        <w:t xml:space="preserve">☐  Emergency contact list distributed (CME PM, Safety Officer, nearest hospital, barangay).</w:t>
      </w:r>
    </w:p>
    <w:p>
      <w:pPr>
        <w:spacing w:after="60"/>
        <w:ind w:left="360"/>
      </w:pPr>
      <w:r>
        <w:rPr>
          <w:rFonts w:ascii="Arial" w:cs="Arial" w:eastAsia="Arial" w:hAnsi="Arial"/>
          <w:sz w:val="22"/>
          <w:szCs w:val="22"/>
        </w:rPr>
        <w:t xml:space="preserve">☐  CSHP and Construction Permit posted on-site.</w:t>
      </w:r>
    </w:p>
    <w:p>
      <w:pPr>
        <w:spacing w:after="60"/>
        <w:ind w:left="360"/>
      </w:pPr>
      <w:r>
        <w:rPr>
          <w:rFonts w:ascii="Arial" w:cs="Arial" w:eastAsia="Arial" w:hAnsi="Arial"/>
          <w:sz w:val="22"/>
          <w:szCs w:val="22"/>
        </w:rPr>
        <w:t xml:space="preserve">☐  Site signage installed (TowerCo banner, contractor banner, safety signs).</w:t>
      </w:r>
    </w:p>
    <w:p>
      <w:pPr>
        <w:spacing w:after="60"/>
        <w:ind w:left="360"/>
      </w:pPr>
      <w:r>
        <w:rPr>
          <w:rFonts w:ascii="Arial" w:cs="Arial" w:eastAsia="Arial" w:hAnsi="Arial"/>
          <w:sz w:val="22"/>
          <w:szCs w:val="22"/>
        </w:rPr>
        <w:t xml:space="preserve">☐  SKOM Report drafted same day, signed by all attendees, distributed within 24 hours.</w:t>
      </w:r>
    </w:p>
    <w:p>
      <w:pPr>
        <w:pStyle w:val="Heading3"/>
        <w:spacing w:after="120" w:before="180"/>
      </w:pPr>
      <w:r>
        <w:rPr>
          <w:rFonts w:ascii="Arial" w:cs="Arial" w:eastAsia="Arial" w:hAnsi="Arial"/>
        </w:rPr>
        <w:t xml:space="preserve">Post-SKOM (T+1 to T+3 days)</w:t>
      </w:r>
    </w:p>
    <w:p>
      <w:pPr>
        <w:spacing w:after="60"/>
        <w:ind w:left="360"/>
      </w:pPr>
      <w:r>
        <w:rPr>
          <w:rFonts w:ascii="Arial" w:cs="Arial" w:eastAsia="Arial" w:hAnsi="Arial"/>
          <w:sz w:val="22"/>
          <w:szCs w:val="22"/>
        </w:rPr>
        <w:t xml:space="preserve">☐  SKOM Report uploaded to Site Tracker.</w:t>
      </w:r>
    </w:p>
    <w:p>
      <w:pPr>
        <w:spacing w:after="60"/>
        <w:ind w:left="360"/>
      </w:pPr>
      <w:r>
        <w:rPr>
          <w:rFonts w:ascii="Arial" w:cs="Arial" w:eastAsia="Arial" w:hAnsi="Arial"/>
          <w:sz w:val="22"/>
          <w:szCs w:val="22"/>
        </w:rPr>
        <w:t xml:space="preserve">☐  Mobilization Request for Payment filed.</w:t>
      </w:r>
    </w:p>
    <w:p>
      <w:pPr>
        <w:spacing w:after="60"/>
        <w:ind w:left="360"/>
      </w:pPr>
      <w:r>
        <w:rPr>
          <w:rFonts w:ascii="Arial" w:cs="Arial" w:eastAsia="Arial" w:hAnsi="Arial"/>
          <w:sz w:val="22"/>
          <w:szCs w:val="22"/>
        </w:rPr>
        <w:t xml:space="preserve">☐  PR for Power Vendor (commercial/temporary power) released.</w:t>
      </w:r>
    </w:p>
    <w:p>
      <w:pPr>
        <w:pStyle w:val="Heading2"/>
        <w:spacing w:after="180" w:before="240"/>
      </w:pPr>
      <w:r>
        <w:rPr>
          <w:rFonts w:ascii="Arial" w:cs="Arial" w:eastAsia="Arial" w:hAnsi="Arial"/>
        </w:rPr>
        <w:t xml:space="preserve">4.3 Construction Safety and Health Program (CSHP) Submission Checklist</w:t>
      </w:r>
    </w:p>
    <w:p>
      <w:pPr>
        <w:spacing w:after="120" w:before="0"/>
      </w:pPr>
      <w:r>
        <w:rPr>
          <w:rFonts w:ascii="Arial" w:cs="Arial" w:eastAsia="Arial" w:hAnsi="Arial"/>
          <w:i/>
          <w:iCs/>
        </w:rPr>
        <w:t xml:space="preserve">CSHP must be submitted to DOLE Regional Office and acknowledged BEFORE actual construction mobilization. DOLE D.O. 13-98 and Building Permit issuance both require it.</w:t>
      </w:r>
    </w:p>
    <w:p>
      <w:pPr>
        <w:spacing w:after="60"/>
        <w:ind w:left="360"/>
      </w:pPr>
      <w:r>
        <w:rPr>
          <w:rFonts w:ascii="Arial" w:cs="Arial" w:eastAsia="Arial" w:hAnsi="Arial"/>
          <w:sz w:val="22"/>
          <w:szCs w:val="22"/>
        </w:rPr>
        <w:t xml:space="preserve">☐  CSHP prepared by Safety Officer 2 (SO2) or higher, accredited by DOLE-BWC.</w:t>
      </w:r>
    </w:p>
    <w:p>
      <w:pPr>
        <w:spacing w:after="60"/>
        <w:ind w:left="360"/>
      </w:pPr>
      <w:r>
        <w:rPr>
          <w:rFonts w:ascii="Arial" w:cs="Arial" w:eastAsia="Arial" w:hAnsi="Arial"/>
          <w:sz w:val="22"/>
          <w:szCs w:val="22"/>
        </w:rPr>
        <w:t xml:space="preserve">☐  Project information: site address, project type, contract amount, duration, max workforce.</w:t>
      </w:r>
    </w:p>
    <w:p>
      <w:pPr>
        <w:spacing w:after="60"/>
        <w:ind w:left="360"/>
      </w:pPr>
      <w:r>
        <w:rPr>
          <w:rFonts w:ascii="Arial" w:cs="Arial" w:eastAsia="Arial" w:hAnsi="Arial"/>
          <w:sz w:val="22"/>
          <w:szCs w:val="22"/>
        </w:rPr>
        <w:t xml:space="preserve">☐  Hazard identification &amp; risk assessment (HIRA) matrix per work activity.</w:t>
      </w:r>
    </w:p>
    <w:p>
      <w:pPr>
        <w:spacing w:after="60"/>
        <w:ind w:left="360"/>
      </w:pPr>
      <w:r>
        <w:rPr>
          <w:rFonts w:ascii="Arial" w:cs="Arial" w:eastAsia="Arial" w:hAnsi="Arial"/>
          <w:sz w:val="22"/>
          <w:szCs w:val="22"/>
        </w:rPr>
        <w:t xml:space="preserve">☐  Personal Protective Equipment (PPE) list and issuance plan.</w:t>
      </w:r>
    </w:p>
    <w:p>
      <w:pPr>
        <w:spacing w:after="60"/>
        <w:ind w:left="360"/>
      </w:pPr>
      <w:r>
        <w:rPr>
          <w:rFonts w:ascii="Arial" w:cs="Arial" w:eastAsia="Arial" w:hAnsi="Arial"/>
          <w:sz w:val="22"/>
          <w:szCs w:val="22"/>
        </w:rPr>
        <w:t xml:space="preserve">☐  Safety personnel structure: Safety Officer, First Aider, fire watch (per workforce size).</w:t>
      </w:r>
    </w:p>
    <w:p>
      <w:pPr>
        <w:spacing w:after="60"/>
        <w:ind w:left="360"/>
      </w:pPr>
      <w:r>
        <w:rPr>
          <w:rFonts w:ascii="Arial" w:cs="Arial" w:eastAsia="Arial" w:hAnsi="Arial"/>
          <w:sz w:val="22"/>
          <w:szCs w:val="22"/>
        </w:rPr>
        <w:t xml:space="preserve">☐  Toolbox meeting schedule (daily before start of work).</w:t>
      </w:r>
    </w:p>
    <w:p>
      <w:pPr>
        <w:spacing w:after="60"/>
        <w:ind w:left="360"/>
      </w:pPr>
      <w:r>
        <w:rPr>
          <w:rFonts w:ascii="Arial" w:cs="Arial" w:eastAsia="Arial" w:hAnsi="Arial"/>
          <w:sz w:val="22"/>
          <w:szCs w:val="22"/>
        </w:rPr>
        <w:t xml:space="preserve">☐  Emergency preparedness and response plan.</w:t>
      </w:r>
    </w:p>
    <w:p>
      <w:pPr>
        <w:spacing w:after="60"/>
        <w:ind w:left="360"/>
      </w:pPr>
      <w:r>
        <w:rPr>
          <w:rFonts w:ascii="Arial" w:cs="Arial" w:eastAsia="Arial" w:hAnsi="Arial"/>
          <w:sz w:val="22"/>
          <w:szCs w:val="22"/>
        </w:rPr>
        <w:t xml:space="preserve">☐  Health program: pre-employment medical, drug test, illness reporting.</w:t>
      </w:r>
    </w:p>
    <w:p>
      <w:pPr>
        <w:spacing w:after="60"/>
        <w:ind w:left="360"/>
      </w:pPr>
      <w:r>
        <w:rPr>
          <w:rFonts w:ascii="Arial" w:cs="Arial" w:eastAsia="Arial" w:hAnsi="Arial"/>
          <w:sz w:val="22"/>
          <w:szCs w:val="22"/>
        </w:rPr>
        <w:t xml:space="preserve">☐  Penalties for non-compliance (worker-level).</w:t>
      </w:r>
    </w:p>
    <w:p>
      <w:pPr>
        <w:spacing w:after="60"/>
        <w:ind w:left="360"/>
      </w:pPr>
      <w:r>
        <w:rPr>
          <w:rFonts w:ascii="Arial" w:cs="Arial" w:eastAsia="Arial" w:hAnsi="Arial"/>
          <w:sz w:val="22"/>
          <w:szCs w:val="22"/>
        </w:rPr>
        <w:t xml:space="preserve">☐  CSHP filed with DOLE Regional Office; acknowledgement receipt obtained.</w:t>
      </w:r>
    </w:p>
    <w:p>
      <w:pPr>
        <w:spacing w:after="60"/>
        <w:ind w:left="360"/>
      </w:pPr>
      <w:r>
        <w:rPr>
          <w:rFonts w:ascii="Arial" w:cs="Arial" w:eastAsia="Arial" w:hAnsi="Arial"/>
          <w:sz w:val="22"/>
          <w:szCs w:val="22"/>
        </w:rPr>
        <w:t xml:space="preserve">☐  CSHP copy filed with BFP and with LGU Engineering Office.</w:t>
      </w:r>
    </w:p>
    <w:p>
      <w:pPr>
        <w:pStyle w:val="Heading2"/>
        <w:spacing w:after="180" w:before="240"/>
      </w:pPr>
      <w:r>
        <w:rPr>
          <w:rFonts w:ascii="Arial" w:cs="Arial" w:eastAsia="Arial" w:hAnsi="Arial"/>
        </w:rPr>
        <w:t xml:space="preserve">4.4 Civil Works Completion / RFTI Turnover Checklist</w:t>
      </w:r>
    </w:p>
    <w:p>
      <w:pPr>
        <w:pStyle w:val="Heading3"/>
        <w:spacing w:after="120" w:before="180"/>
      </w:pPr>
      <w:r>
        <w:rPr>
          <w:rFonts w:ascii="Arial" w:cs="Arial" w:eastAsia="Arial" w:hAnsi="Arial"/>
        </w:rPr>
        <w:t xml:space="preserve">Civil &amp; Structural</w:t>
      </w:r>
    </w:p>
    <w:p>
      <w:pPr>
        <w:spacing w:after="60"/>
        <w:ind w:left="360"/>
      </w:pPr>
      <w:r>
        <w:rPr>
          <w:rFonts w:ascii="Arial" w:cs="Arial" w:eastAsia="Arial" w:hAnsi="Arial"/>
          <w:sz w:val="22"/>
          <w:szCs w:val="22"/>
        </w:rPr>
        <w:t xml:space="preserve">☐  Foundation: as-built dimensions match DDD; concrete cylinder test results passed (28-day strength ≥ design).</w:t>
      </w:r>
    </w:p>
    <w:p>
      <w:pPr>
        <w:spacing w:after="60"/>
        <w:ind w:left="360"/>
      </w:pPr>
      <w:r>
        <w:rPr>
          <w:rFonts w:ascii="Arial" w:cs="Arial" w:eastAsia="Arial" w:hAnsi="Arial"/>
          <w:sz w:val="22"/>
          <w:szCs w:val="22"/>
        </w:rPr>
        <w:t xml:space="preserve">☐  Anchor bolts: torqued to manufacturer spec; bolt projection verified; non-shrink grout applied.</w:t>
      </w:r>
    </w:p>
    <w:p>
      <w:pPr>
        <w:spacing w:after="60"/>
        <w:ind w:left="360"/>
      </w:pPr>
      <w:r>
        <w:rPr>
          <w:rFonts w:ascii="Arial" w:cs="Arial" w:eastAsia="Arial" w:hAnsi="Arial"/>
          <w:sz w:val="22"/>
          <w:szCs w:val="22"/>
        </w:rPr>
        <w:t xml:space="preserve">☐  Tower: plumb within tolerance (typically L/500 or per manufacturer); bolts torqued; lock washers installed; all bolts painted/marked.</w:t>
      </w:r>
    </w:p>
    <w:p>
      <w:pPr>
        <w:spacing w:after="60"/>
        <w:ind w:left="360"/>
      </w:pPr>
      <w:r>
        <w:rPr>
          <w:rFonts w:ascii="Arial" w:cs="Arial" w:eastAsia="Arial" w:hAnsi="Arial"/>
          <w:sz w:val="22"/>
          <w:szCs w:val="22"/>
        </w:rPr>
        <w:t xml:space="preserve">☐  Tower verticality survey report (post-erection).</w:t>
      </w:r>
    </w:p>
    <w:p>
      <w:pPr>
        <w:spacing w:after="60"/>
        <w:ind w:left="360"/>
      </w:pPr>
      <w:r>
        <w:rPr>
          <w:rFonts w:ascii="Arial" w:cs="Arial" w:eastAsia="Arial" w:hAnsi="Arial"/>
          <w:sz w:val="22"/>
          <w:szCs w:val="22"/>
        </w:rPr>
        <w:t xml:space="preserve">☐  Aviation marking and lighting (paint scheme, obstruction lights) per CAAP.</w:t>
      </w:r>
    </w:p>
    <w:p>
      <w:pPr>
        <w:spacing w:after="60"/>
        <w:ind w:left="360"/>
      </w:pPr>
      <w:r>
        <w:rPr>
          <w:rFonts w:ascii="Arial" w:cs="Arial" w:eastAsia="Arial" w:hAnsi="Arial"/>
          <w:sz w:val="22"/>
          <w:szCs w:val="22"/>
        </w:rPr>
        <w:t xml:space="preserve">☐  Compound: fence installed (chain-link with barbed wire on top); gate functional with lock; concrete pavement / gravel finished.</w:t>
      </w:r>
    </w:p>
    <w:p>
      <w:pPr>
        <w:spacing w:after="60"/>
        <w:ind w:left="360"/>
      </w:pPr>
      <w:r>
        <w:rPr>
          <w:rFonts w:ascii="Arial" w:cs="Arial" w:eastAsia="Arial" w:hAnsi="Arial"/>
          <w:sz w:val="22"/>
          <w:szCs w:val="22"/>
        </w:rPr>
        <w:t xml:space="preserve">☐  Drainage: catch basin and discharge point per drawing; flow tested.</w:t>
      </w:r>
    </w:p>
    <w:p>
      <w:pPr>
        <w:pStyle w:val="Heading3"/>
        <w:spacing w:after="120" w:before="180"/>
      </w:pPr>
      <w:r>
        <w:rPr>
          <w:rFonts w:ascii="Arial" w:cs="Arial" w:eastAsia="Arial" w:hAnsi="Arial"/>
        </w:rPr>
        <w:t xml:space="preserve">Electrical</w:t>
      </w:r>
    </w:p>
    <w:p>
      <w:pPr>
        <w:spacing w:after="60"/>
        <w:ind w:left="360"/>
      </w:pPr>
      <w:r>
        <w:rPr>
          <w:rFonts w:ascii="Arial" w:cs="Arial" w:eastAsia="Arial" w:hAnsi="Arial"/>
          <w:sz w:val="22"/>
          <w:szCs w:val="22"/>
        </w:rPr>
        <w:t xml:space="preserve">☐  Grounding system: ground rods driven; ring earth installed; tested ≤5Ω (≤1Ω coastal); test report attached.</w:t>
      </w:r>
    </w:p>
    <w:p>
      <w:pPr>
        <w:spacing w:after="60"/>
        <w:ind w:left="360"/>
      </w:pPr>
      <w:r>
        <w:rPr>
          <w:rFonts w:ascii="Arial" w:cs="Arial" w:eastAsia="Arial" w:hAnsi="Arial"/>
          <w:sz w:val="22"/>
          <w:szCs w:val="22"/>
        </w:rPr>
        <w:t xml:space="preserve">☐  Lightning protection: air terminal, down conductor, bonded to ground; continuity tested.</w:t>
      </w:r>
    </w:p>
    <w:p>
      <w:pPr>
        <w:spacing w:after="60"/>
        <w:ind w:left="360"/>
      </w:pPr>
      <w:r>
        <w:rPr>
          <w:rFonts w:ascii="Arial" w:cs="Arial" w:eastAsia="Arial" w:hAnsi="Arial"/>
          <w:sz w:val="22"/>
          <w:szCs w:val="22"/>
        </w:rPr>
        <w:t xml:space="preserve">☐  AC distribution panel installed; circuits labeled; phase rotation correct.</w:t>
      </w:r>
    </w:p>
    <w:p>
      <w:pPr>
        <w:spacing w:after="60"/>
        <w:ind w:left="360"/>
      </w:pPr>
      <w:r>
        <w:rPr>
          <w:rFonts w:ascii="Arial" w:cs="Arial" w:eastAsia="Arial" w:hAnsi="Arial"/>
          <w:sz w:val="22"/>
          <w:szCs w:val="22"/>
        </w:rPr>
        <w:t xml:space="preserve">☐  DC plant (rectifier + battery bank) installed per single-line diagram.</w:t>
      </w:r>
    </w:p>
    <w:p>
      <w:pPr>
        <w:spacing w:after="60"/>
        <w:ind w:left="360"/>
      </w:pPr>
      <w:r>
        <w:rPr>
          <w:rFonts w:ascii="Arial" w:cs="Arial" w:eastAsia="Arial" w:hAnsi="Arial"/>
          <w:sz w:val="22"/>
          <w:szCs w:val="22"/>
        </w:rPr>
        <w:t xml:space="preserve">☐  Battery bank: capacity test passed; minimum backup time per MLA spec achieved.</w:t>
      </w:r>
    </w:p>
    <w:p>
      <w:pPr>
        <w:spacing w:after="60"/>
        <w:ind w:left="360"/>
      </w:pPr>
      <w:r>
        <w:rPr>
          <w:rFonts w:ascii="Arial" w:cs="Arial" w:eastAsia="Arial" w:hAnsi="Arial"/>
          <w:sz w:val="22"/>
          <w:szCs w:val="22"/>
        </w:rPr>
        <w:t xml:space="preserve">☐  Monitoring system: rectifier, battery state-of-charge, AC/DC consumption visible to TowerCo NOC; per MLA Sched 4 Part B Sec 2 (Operator view-access granted).</w:t>
      </w:r>
    </w:p>
    <w:p>
      <w:pPr>
        <w:spacing w:after="60"/>
        <w:ind w:left="360"/>
      </w:pPr>
      <w:r>
        <w:rPr>
          <w:rFonts w:ascii="Arial" w:cs="Arial" w:eastAsia="Arial" w:hAnsi="Arial"/>
          <w:sz w:val="22"/>
          <w:szCs w:val="22"/>
        </w:rPr>
        <w:t xml:space="preserve">☐  Power meter installed (commercial or temporary clearly distinguished).</w:t>
      </w:r>
    </w:p>
    <w:p>
      <w:pPr>
        <w:pStyle w:val="Heading3"/>
        <w:spacing w:after="120" w:before="180"/>
      </w:pPr>
      <w:r>
        <w:rPr>
          <w:rFonts w:ascii="Arial" w:cs="Arial" w:eastAsia="Arial" w:hAnsi="Arial"/>
        </w:rPr>
        <w:t xml:space="preserve">Documentation</w:t>
      </w:r>
    </w:p>
    <w:p>
      <w:pPr>
        <w:spacing w:after="60"/>
        <w:ind w:left="360"/>
      </w:pPr>
      <w:r>
        <w:rPr>
          <w:rFonts w:ascii="Arial" w:cs="Arial" w:eastAsia="Arial" w:hAnsi="Arial"/>
          <w:sz w:val="22"/>
          <w:szCs w:val="22"/>
        </w:rPr>
        <w:t xml:space="preserve">☐  As-built drawings prepared.</w:t>
      </w:r>
    </w:p>
    <w:p>
      <w:pPr>
        <w:spacing w:after="60"/>
        <w:ind w:left="360"/>
      </w:pPr>
      <w:r>
        <w:rPr>
          <w:rFonts w:ascii="Arial" w:cs="Arial" w:eastAsia="Arial" w:hAnsi="Arial"/>
          <w:sz w:val="22"/>
          <w:szCs w:val="22"/>
        </w:rPr>
        <w:t xml:space="preserve">☐  Test reports compiled (concrete, grounding, torque, battery).</w:t>
      </w:r>
    </w:p>
    <w:p>
      <w:pPr>
        <w:spacing w:after="60"/>
        <w:ind w:left="360"/>
      </w:pPr>
      <w:r>
        <w:rPr>
          <w:rFonts w:ascii="Arial" w:cs="Arial" w:eastAsia="Arial" w:hAnsi="Arial"/>
          <w:sz w:val="22"/>
          <w:szCs w:val="22"/>
        </w:rPr>
        <w:t xml:space="preserve">☐  Material delivery receipts and Mill Test Certificates filed.</w:t>
      </w:r>
    </w:p>
    <w:p>
      <w:pPr>
        <w:spacing w:after="60"/>
        <w:ind w:left="360"/>
      </w:pPr>
      <w:r>
        <w:rPr>
          <w:rFonts w:ascii="Arial" w:cs="Arial" w:eastAsia="Arial" w:hAnsi="Arial"/>
          <w:sz w:val="22"/>
          <w:szCs w:val="22"/>
        </w:rPr>
        <w:t xml:space="preserve">☐  RFI Certificate (Sched 4 Part F) prepared in good faith for MNO submission.</w:t>
      </w:r>
    </w:p>
    <w:p>
      <w:pPr>
        <w:spacing w:after="60"/>
        <w:ind w:left="360"/>
      </w:pPr>
      <w:r>
        <w:rPr>
          <w:rFonts w:ascii="Arial" w:cs="Arial" w:eastAsia="Arial" w:hAnsi="Arial"/>
          <w:sz w:val="22"/>
          <w:szCs w:val="22"/>
        </w:rPr>
        <w:t xml:space="preserve">☐  Daily Construction Reports complete for entire construction period.</w:t>
      </w:r>
    </w:p>
    <w:p>
      <w:pPr>
        <w:spacing w:after="60"/>
        <w:ind w:left="360"/>
      </w:pPr>
      <w:r>
        <w:rPr>
          <w:rFonts w:ascii="Arial" w:cs="Arial" w:eastAsia="Arial" w:hAnsi="Arial"/>
          <w:sz w:val="22"/>
          <w:szCs w:val="22"/>
        </w:rPr>
        <w:t xml:space="preserve">☐  Photos: pre-construction, foundation excavation, foundation pour, tower erection sequence, electrical fit-out, final.</w:t>
      </w:r>
    </w:p>
    <w:p>
      <w:pPr>
        <w:spacing w:after="60"/>
        <w:ind w:left="360"/>
      </w:pPr>
      <w:r>
        <w:rPr>
          <w:rFonts w:ascii="Arial" w:cs="Arial" w:eastAsia="Arial" w:hAnsi="Arial"/>
          <w:sz w:val="22"/>
          <w:szCs w:val="22"/>
        </w:rPr>
        <w:t xml:space="preserve">☐  Turnover meeting held with PMO and Engineering Sign-off received.</w:t>
      </w:r>
    </w:p>
    <w:p>
      <w:pPr>
        <w:pStyle w:val="Heading2"/>
        <w:spacing w:after="180" w:before="240"/>
      </w:pPr>
      <w:r>
        <w:rPr>
          <w:rFonts w:ascii="Arial" w:cs="Arial" w:eastAsia="Arial" w:hAnsi="Arial"/>
        </w:rPr>
        <w:t xml:space="preserve">4.5 Daily Construction Progress Report — Field-by-Field Format</w:t>
      </w:r>
    </w:p>
    <w:p>
      <w:pPr>
        <w:spacing w:after="80" w:before="0"/>
      </w:pPr>
      <w:r>
        <w:rPr>
          <w:rFonts w:ascii="Arial" w:cs="Arial" w:eastAsia="Arial" w:hAnsi="Arial"/>
          <w:i/>
          <w:iCs/>
        </w:rPr>
        <w:t xml:space="preserve">Submitted EOD by CME Contractor Site Engineer; received by TowerCo CME PM, Engineering, PMO.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Example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Report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Day Number (of 44)</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Day 12 of 44</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CME Contractor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Company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Engineer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 + signature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Weather (AM / PM)</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Sunny / Cloudy / Rain / Heavy Rain / Storm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Workforce on Site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Count by trade (Civil / Electrical / Tower Erector / Safety)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Total Manhours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Numeric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Cumulative Manhours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Running total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Equipment on Site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List (Crane, Boom truck, Excavator, Welding, etc.)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Material Deliveries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Item, qty, supplier, DR#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Activities Completed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 — reference DDD line items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 Physical Progress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Cumulative %</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 Physical Progress (Plan)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master schedule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Variance (Actual − Plan)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Activities Planned Tomorrow</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Quality Issues / NCR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Description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Safety Incidents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Near-miss / First-aid / LTI / Fatality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Cumulative Safety Stats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Days w/o LTI; Total man-hours w/o LTI</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Toolbox Meeting Held?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(topic) / NO (reason)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Lessor / Neighbor Issues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Description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Permit / LGU Inspection Today?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(results)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Variation Order Triggers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Description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Risks Flagged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Photos Attached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Count + cloud link</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Engineer Sign-off</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 + time</w:t>
            </w:r>
          </w:p>
        </w:tc>
      </w:tr>
    </w:tbl>
    <w:p>
      <w:pPr>
        <w:pStyle w:val="Heading2"/>
        <w:spacing w:after="180" w:before="240"/>
      </w:pPr>
      <w:r>
        <w:rPr>
          <w:rFonts w:ascii="Arial" w:cs="Arial" w:eastAsia="Arial" w:hAnsi="Arial"/>
        </w:rPr>
        <w:t xml:space="preserve">4.6 Final CW / RFTI Turnover Checklist (Schedule 4 Part F Alignment)</w:t>
      </w:r>
    </w:p>
    <w:p>
      <w:pPr>
        <w:spacing w:after="120" w:before="0"/>
      </w:pPr>
      <w:r>
        <w:rPr>
          <w:rFonts w:ascii="Arial" w:cs="Arial" w:eastAsia="Arial" w:hAnsi="Arial"/>
          <w:i/>
          <w:iCs/>
        </w:rPr>
        <w:t xml:space="preserve">Per MLA Clause 3.5(a)(ii): Within 10 Working Days of substantial completion, TowerCo delivers RFI Certificate (Sched 4 Part F) to Operator. Operator has 10 Working Days to accept or issue Disagreement Notice. Acceptance date = Site Commencement Date for the Site License.</w:t>
      </w:r>
    </w:p>
    <w:p>
      <w:pPr>
        <w:pStyle w:val="Heading3"/>
        <w:spacing w:after="120" w:before="180"/>
      </w:pPr>
      <w:r>
        <w:rPr>
          <w:rFonts w:ascii="Arial" w:cs="Arial" w:eastAsia="Arial" w:hAnsi="Arial"/>
        </w:rPr>
        <w:t xml:space="preserve">RFI Submission Pack</w:t>
      </w:r>
    </w:p>
    <w:p>
      <w:pPr>
        <w:spacing w:after="60"/>
        <w:ind w:left="360"/>
      </w:pPr>
      <w:r>
        <w:rPr>
          <w:rFonts w:ascii="Arial" w:cs="Arial" w:eastAsia="Arial" w:hAnsi="Arial"/>
          <w:sz w:val="22"/>
          <w:szCs w:val="22"/>
        </w:rPr>
        <w:t xml:space="preserve">☐  RFI Certificate (Schedule 4 Part F) — completed, signed, dated.</w:t>
      </w:r>
    </w:p>
    <w:p>
      <w:pPr>
        <w:spacing w:after="60"/>
        <w:ind w:left="360"/>
      </w:pPr>
      <w:r>
        <w:rPr>
          <w:rFonts w:ascii="Arial" w:cs="Arial" w:eastAsia="Arial" w:hAnsi="Arial"/>
          <w:sz w:val="22"/>
          <w:szCs w:val="22"/>
        </w:rPr>
        <w:t xml:space="preserve">☐  As-built drawings (architectural, structural, electrical).</w:t>
      </w:r>
    </w:p>
    <w:p>
      <w:pPr>
        <w:spacing w:after="60"/>
        <w:ind w:left="360"/>
      </w:pPr>
      <w:r>
        <w:rPr>
          <w:rFonts w:ascii="Arial" w:cs="Arial" w:eastAsia="Arial" w:hAnsi="Arial"/>
          <w:sz w:val="22"/>
          <w:szCs w:val="22"/>
        </w:rPr>
        <w:t xml:space="preserve">☐  Test reports: concrete (cube/cylinder), grounding (≤5Ω evidence), tower verticality, battery capacity, rectifier commissioning.</w:t>
      </w:r>
    </w:p>
    <w:p>
      <w:pPr>
        <w:spacing w:after="60"/>
        <w:ind w:left="360"/>
      </w:pPr>
      <w:r>
        <w:rPr>
          <w:rFonts w:ascii="Arial" w:cs="Arial" w:eastAsia="Arial" w:hAnsi="Arial"/>
          <w:sz w:val="22"/>
          <w:szCs w:val="22"/>
        </w:rPr>
        <w:t xml:space="preserve">☐  PEC compliance certificate (electrical inspection).</w:t>
      </w:r>
    </w:p>
    <w:p>
      <w:pPr>
        <w:spacing w:after="60"/>
        <w:ind w:left="360"/>
      </w:pPr>
      <w:r>
        <w:rPr>
          <w:rFonts w:ascii="Arial" w:cs="Arial" w:eastAsia="Arial" w:hAnsi="Arial"/>
          <w:sz w:val="22"/>
          <w:szCs w:val="22"/>
        </w:rPr>
        <w:t xml:space="preserve">☐  Statement of Completion signed by CME contractor, sealed by licensed engineer.</w:t>
      </w:r>
    </w:p>
    <w:p>
      <w:pPr>
        <w:spacing w:after="60"/>
        <w:ind w:left="360"/>
      </w:pPr>
      <w:r>
        <w:rPr>
          <w:rFonts w:ascii="Arial" w:cs="Arial" w:eastAsia="Arial" w:hAnsi="Arial"/>
          <w:sz w:val="22"/>
          <w:szCs w:val="22"/>
        </w:rPr>
        <w:t xml:space="preserve">☐  Photos package: foundation, erection, fit-out, final compound, gate, all four elevations, panoramic.</w:t>
      </w:r>
    </w:p>
    <w:p>
      <w:pPr>
        <w:spacing w:after="60"/>
        <w:ind w:left="360"/>
      </w:pPr>
      <w:r>
        <w:rPr>
          <w:rFonts w:ascii="Arial" w:cs="Arial" w:eastAsia="Arial" w:hAnsi="Arial"/>
          <w:sz w:val="22"/>
          <w:szCs w:val="22"/>
        </w:rPr>
        <w:t xml:space="preserve">☐  Operator access details: gate combination, fence keys count, contact list, NOC monitoring credentials.</w:t>
      </w:r>
    </w:p>
    <w:p>
      <w:pPr>
        <w:spacing w:after="60"/>
        <w:ind w:left="360"/>
      </w:pPr>
      <w:r>
        <w:rPr>
          <w:rFonts w:ascii="Arial" w:cs="Arial" w:eastAsia="Arial" w:hAnsi="Arial"/>
          <w:sz w:val="22"/>
          <w:szCs w:val="22"/>
        </w:rPr>
        <w:t xml:space="preserve">☐  Commercial Power: Energization Declaration; meter number; serving utility account number.</w:t>
      </w:r>
    </w:p>
    <w:p>
      <w:pPr>
        <w:spacing w:after="60"/>
        <w:ind w:left="360"/>
      </w:pPr>
      <w:r>
        <w:rPr>
          <w:rFonts w:ascii="Arial" w:cs="Arial" w:eastAsia="Arial" w:hAnsi="Arial"/>
          <w:sz w:val="22"/>
          <w:szCs w:val="22"/>
        </w:rPr>
        <w:t xml:space="preserve">☐  DC Plant: rectifier model/SN, battery bank specs, monitoring access verified.</w:t>
      </w:r>
    </w:p>
    <w:p>
      <w:pPr>
        <w:spacing w:after="60"/>
        <w:ind w:left="360"/>
      </w:pPr>
      <w:r>
        <w:rPr>
          <w:rFonts w:ascii="Arial" w:cs="Arial" w:eastAsia="Arial" w:hAnsi="Arial"/>
          <w:sz w:val="22"/>
          <w:szCs w:val="22"/>
        </w:rPr>
        <w:t xml:space="preserve">☐  Site signage final.</w:t>
      </w:r>
    </w:p>
    <w:p>
      <w:pPr>
        <w:spacing w:after="60"/>
        <w:ind w:left="360"/>
      </w:pPr>
      <w:r>
        <w:rPr>
          <w:rFonts w:ascii="Arial" w:cs="Arial" w:eastAsia="Arial" w:hAnsi="Arial"/>
          <w:sz w:val="22"/>
          <w:szCs w:val="22"/>
        </w:rPr>
        <w:t xml:space="preserve">☐  Aviation marking conforms (if applicable).</w:t>
      </w:r>
    </w:p>
    <w:p>
      <w:pPr>
        <w:spacing w:after="60"/>
        <w:ind w:left="360"/>
      </w:pPr>
      <w:r>
        <w:rPr>
          <w:rFonts w:ascii="Arial" w:cs="Arial" w:eastAsia="Arial" w:hAnsi="Arial"/>
          <w:sz w:val="22"/>
          <w:szCs w:val="22"/>
        </w:rPr>
        <w:t xml:space="preserve">☐  Final compound housekeeping: no debris, no scaffolding, no temporary structures remaining.</w:t>
      </w:r>
    </w:p>
    <w:p>
      <w:pPr>
        <w:pStyle w:val="Heading3"/>
        <w:spacing w:after="120" w:before="180"/>
      </w:pPr>
      <w:r>
        <w:rPr>
          <w:rFonts w:ascii="Arial" w:cs="Arial" w:eastAsia="Arial" w:hAnsi="Arial"/>
        </w:rPr>
        <w:t xml:space="preserve">Common Disagreement Notice Triggers — Pre-empt These</w:t>
      </w:r>
    </w:p>
    <w:p>
      <w:pPr>
        <w:pStyle w:val="ListParagraph"/>
        <w:numPr>
          <w:ilvl w:val="0"/>
          <w:numId w:val="2"/>
        </w:numPr>
        <w:spacing w:after="60"/>
      </w:pPr>
      <w:r>
        <w:rPr>
          <w:rFonts w:ascii="Arial" w:cs="Arial" w:eastAsia="Arial" w:hAnsi="Arial"/>
          <w:sz w:val="22"/>
          <w:szCs w:val="22"/>
        </w:rPr>
        <w:t xml:space="preserve">Grounding test ≥5Ω (must be ≤5Ω, ≤1Ω at coastal — do not submit until corrected).</w:t>
      </w:r>
    </w:p>
    <w:p>
      <w:pPr>
        <w:pStyle w:val="ListParagraph"/>
        <w:numPr>
          <w:ilvl w:val="0"/>
          <w:numId w:val="2"/>
        </w:numPr>
        <w:spacing w:after="60"/>
      </w:pPr>
      <w:r>
        <w:rPr>
          <w:rFonts w:ascii="Arial" w:cs="Arial" w:eastAsia="Arial" w:hAnsi="Arial"/>
          <w:sz w:val="22"/>
          <w:szCs w:val="22"/>
        </w:rPr>
        <w:t xml:space="preserve">Battery autonomy below MLA spec — pre-test before RFI submission.</w:t>
      </w:r>
    </w:p>
    <w:p>
      <w:pPr>
        <w:pStyle w:val="ListParagraph"/>
        <w:numPr>
          <w:ilvl w:val="0"/>
          <w:numId w:val="2"/>
        </w:numPr>
        <w:spacing w:after="60"/>
      </w:pPr>
      <w:r>
        <w:rPr>
          <w:rFonts w:ascii="Arial" w:cs="Arial" w:eastAsia="Arial" w:hAnsi="Arial"/>
          <w:sz w:val="22"/>
          <w:szCs w:val="22"/>
        </w:rPr>
        <w:t xml:space="preserve">Monitoring system access not yet granted to Operator NOC.</w:t>
      </w:r>
    </w:p>
    <w:p>
      <w:pPr>
        <w:pStyle w:val="ListParagraph"/>
        <w:numPr>
          <w:ilvl w:val="0"/>
          <w:numId w:val="2"/>
        </w:numPr>
        <w:spacing w:after="60"/>
      </w:pPr>
      <w:r>
        <w:rPr>
          <w:rFonts w:ascii="Arial" w:cs="Arial" w:eastAsia="Arial" w:hAnsi="Arial"/>
          <w:sz w:val="22"/>
          <w:szCs w:val="22"/>
        </w:rPr>
        <w:t xml:space="preserve">Tower verticality out of tolerance.</w:t>
      </w:r>
    </w:p>
    <w:p>
      <w:pPr>
        <w:pStyle w:val="ListParagraph"/>
        <w:numPr>
          <w:ilvl w:val="0"/>
          <w:numId w:val="2"/>
        </w:numPr>
        <w:spacing w:after="60"/>
      </w:pPr>
      <w:r>
        <w:rPr>
          <w:rFonts w:ascii="Arial" w:cs="Arial" w:eastAsia="Arial" w:hAnsi="Arial"/>
          <w:sz w:val="22"/>
          <w:szCs w:val="22"/>
        </w:rPr>
        <w:t xml:space="preserve">Missing aviation marking where required.</w:t>
      </w:r>
    </w:p>
    <w:p>
      <w:pPr>
        <w:pStyle w:val="ListParagraph"/>
        <w:numPr>
          <w:ilvl w:val="0"/>
          <w:numId w:val="2"/>
        </w:numPr>
        <w:spacing w:after="60"/>
      </w:pPr>
      <w:r>
        <w:rPr>
          <w:rFonts w:ascii="Arial" w:cs="Arial" w:eastAsia="Arial" w:hAnsi="Arial"/>
          <w:sz w:val="22"/>
          <w:szCs w:val="22"/>
        </w:rPr>
        <w:t xml:space="preserve">LGU permit not yet closed (final inspection / Certificate of Occupancy).</w:t>
      </w:r>
    </w:p>
    <w:p>
      <w:pPr>
        <w:pStyle w:val="Heading2"/>
        <w:spacing w:after="180" w:before="240"/>
      </w:pPr>
      <w:r>
        <w:rPr>
          <w:rFonts w:ascii="Arial" w:cs="Arial" w:eastAsia="Arial" w:hAnsi="Arial"/>
        </w:rPr>
        <w:t xml:space="preserve">4.7 Variation Order (VO) Approval Matrix</w:t>
      </w:r>
    </w:p>
    <w:p>
      <w:pPr>
        <w:spacing w:after="120" w:before="0"/>
      </w:pPr>
      <w:r>
        <w:rPr>
          <w:rFonts w:ascii="Arial" w:cs="Arial" w:eastAsia="Arial" w:hAnsi="Arial"/>
          <w:i/>
          <w:iCs/>
        </w:rPr>
        <w:t xml:space="preserve">Per MLA Clause 3.1(b): work outside the Schedule 4 Part A Responsibility Matrix is a Variation Order — pass-through cost, approved by Operator before execution if single-tenant (or shared across tenants if multi-tenant). Forms part of monthly 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VO Amount (PHP)</w:t>
            </w:r>
          </w:p>
        </w:tc>
        <w:tc>
          <w:tcPr>
            <w:tcW w:type="dxa" w:w="1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Cumulative % of BOQ</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Internal Approver</w:t>
            </w:r>
          </w:p>
        </w:tc>
        <w:tc>
          <w:tcPr>
            <w:tcW w:type="dxa" w:w="31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MNO Process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 100,000</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 2%</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CME PM + Engineering</w:t>
            </w:r>
          </w:p>
        </w:tc>
        <w:tc>
          <w:tcPr>
            <w:tcW w:type="dxa" w:w="3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Notification only (post-hoc)</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100,001 – 500,000</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2 – 5%</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CME Manager + Design Manager</w:t>
            </w:r>
          </w:p>
        </w:tc>
        <w:tc>
          <w:tcPr>
            <w:tcW w:type="dxa" w:w="3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concurrence in writing before execution</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500,001 – 2,000,000</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 – 15%</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Engineering Director + Finance Director</w:t>
            </w:r>
          </w:p>
        </w:tc>
        <w:tc>
          <w:tcPr>
            <w:tcW w:type="dxa" w:w="3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formal approval; Schedule 4 Part C Application for Proposed Work</w:t>
            </w:r>
          </w:p>
        </w:tc>
      </w:tr>
      <w:tr>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&gt; 2,000,000</w:t>
            </w:r>
          </w:p>
        </w:tc>
        <w:tc>
          <w:tcPr>
            <w:tcW w:type="dxa" w:w="18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pPr>
              <w:jc w:val="center"/>
            </w:pPr>
            <w:r>
              <w:rPr>
                <w:rFonts w:ascii="Arial" w:cs="Arial" w:eastAsia="Arial" w:hAnsi="Arial"/>
                <w:color w:val="FFFFFF"/>
                <w:sz w:val="20"/>
                <w:szCs w:val="20"/>
              </w:rPr>
              <w:t xml:space="preserve">&gt; 15%</w:t>
            </w:r>
          </w:p>
        </w:tc>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COO / CEO + ManCom</w:t>
            </w:r>
          </w:p>
        </w:tc>
        <w:tc>
          <w:tcPr>
            <w:tcW w:type="dxa" w:w="316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MNO ManCom-level approval; commercial re-paper if recurring</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Mandatory VO Documentation</w:t>
      </w:r>
    </w:p>
    <w:p>
      <w:pPr>
        <w:pStyle w:val="ListParagraph"/>
        <w:numPr>
          <w:ilvl w:val="0"/>
          <w:numId w:val="2"/>
        </w:numPr>
        <w:spacing w:after="60"/>
      </w:pPr>
      <w:r>
        <w:rPr>
          <w:rFonts w:ascii="Arial" w:cs="Arial" w:eastAsia="Arial" w:hAnsi="Arial"/>
          <w:sz w:val="22"/>
          <w:szCs w:val="22"/>
        </w:rPr>
        <w:t xml:space="preserve">VO Request Form — describing scope change, technical justification, photos.</w:t>
      </w:r>
    </w:p>
    <w:p>
      <w:pPr>
        <w:pStyle w:val="ListParagraph"/>
        <w:numPr>
          <w:ilvl w:val="0"/>
          <w:numId w:val="2"/>
        </w:numPr>
        <w:spacing w:after="60"/>
      </w:pPr>
      <w:r>
        <w:rPr>
          <w:rFonts w:ascii="Arial" w:cs="Arial" w:eastAsia="Arial" w:hAnsi="Arial"/>
          <w:sz w:val="22"/>
          <w:szCs w:val="22"/>
        </w:rPr>
        <w:t xml:space="preserve">Quantity take-off and pricing (vendor quotes attached).</w:t>
      </w:r>
    </w:p>
    <w:p>
      <w:pPr>
        <w:pStyle w:val="ListParagraph"/>
        <w:numPr>
          <w:ilvl w:val="0"/>
          <w:numId w:val="2"/>
        </w:numPr>
        <w:spacing w:after="60"/>
      </w:pPr>
      <w:r>
        <w:rPr>
          <w:rFonts w:ascii="Arial" w:cs="Arial" w:eastAsia="Arial" w:hAnsi="Arial"/>
          <w:sz w:val="22"/>
          <w:szCs w:val="22"/>
        </w:rPr>
        <w:t xml:space="preserve">Schedule impact assessment (days added to SLA — file Delay Extension Request if applicable).</w:t>
      </w:r>
    </w:p>
    <w:p>
      <w:pPr>
        <w:pStyle w:val="ListParagraph"/>
        <w:numPr>
          <w:ilvl w:val="0"/>
          <w:numId w:val="2"/>
        </w:numPr>
        <w:spacing w:after="60"/>
      </w:pPr>
      <w:r>
        <w:rPr>
          <w:rFonts w:ascii="Arial" w:cs="Arial" w:eastAsia="Arial" w:hAnsi="Arial"/>
          <w:sz w:val="22"/>
          <w:szCs w:val="22"/>
        </w:rPr>
        <w:t xml:space="preserve">MNO sign-off (per matrix tier above).</w:t>
      </w:r>
    </w:p>
    <w:p>
      <w:pPr>
        <w:pStyle w:val="ListParagraph"/>
        <w:numPr>
          <w:ilvl w:val="0"/>
          <w:numId w:val="2"/>
        </w:numPr>
        <w:spacing w:after="60"/>
      </w:pPr>
      <w:r>
        <w:rPr>
          <w:rFonts w:ascii="Arial" w:cs="Arial" w:eastAsia="Arial" w:hAnsi="Arial"/>
          <w:sz w:val="22"/>
          <w:szCs w:val="22"/>
        </w:rPr>
        <w:t xml:space="preserve">Post-execution: VO Completion Report, Final cost reconciliation, photos.</w:t>
      </w:r>
    </w:p>
    <w:p>
      <w:pPr>
        <w:pStyle w:val="Heading2"/>
        <w:spacing w:after="180" w:before="240"/>
      </w:pPr>
      <w:r>
        <w:rPr>
          <w:rFonts w:ascii="Arial" w:cs="Arial" w:eastAsia="Arial" w:hAnsi="Arial"/>
        </w:rPr>
        <w:t xml:space="preserve">4.8 Mandatory Safety &amp; Stop-Work Protocols</w:t>
      </w:r>
    </w:p>
    <w:p>
      <w:pPr>
        <w:pStyle w:val="Heading3"/>
        <w:spacing w:after="120" w:before="180"/>
      </w:pPr>
      <w:r>
        <w:rPr>
          <w:rFonts w:ascii="Arial" w:cs="Arial" w:eastAsia="Arial" w:hAnsi="Arial"/>
        </w:rPr>
        <w:t xml:space="preserve">Stop-Work Triggers (Authority to Halt — Any Safety Officer, CME PM, or TowerCo Employee on Site)</w:t>
      </w:r>
    </w:p>
    <w:p>
      <w:pPr>
        <w:pStyle w:val="ListParagraph"/>
        <w:numPr>
          <w:ilvl w:val="0"/>
          <w:numId w:val="2"/>
        </w:numPr>
        <w:spacing w:after="60"/>
      </w:pPr>
      <w:r>
        <w:rPr>
          <w:rFonts w:ascii="Arial" w:cs="Arial" w:eastAsia="Arial" w:hAnsi="Arial"/>
          <w:sz w:val="22"/>
          <w:szCs w:val="22"/>
        </w:rPr>
        <w:t xml:space="preserve">Fatality or Lost-Time Injury (LTI) — IMMEDIATE site shutdown; notify DOLE within 24 hours; root-cause analysis before resumption.</w:t>
      </w:r>
    </w:p>
    <w:p>
      <w:pPr>
        <w:pStyle w:val="ListParagraph"/>
        <w:numPr>
          <w:ilvl w:val="0"/>
          <w:numId w:val="2"/>
        </w:numPr>
        <w:spacing w:after="60"/>
      </w:pPr>
      <w:r>
        <w:rPr>
          <w:rFonts w:ascii="Arial" w:cs="Arial" w:eastAsia="Arial" w:hAnsi="Arial"/>
          <w:sz w:val="22"/>
          <w:szCs w:val="22"/>
        </w:rPr>
        <w:t xml:space="preserve">Working at height without fall arrest harness or with damaged harness.</w:t>
      </w:r>
    </w:p>
    <w:p>
      <w:pPr>
        <w:pStyle w:val="ListParagraph"/>
        <w:numPr>
          <w:ilvl w:val="0"/>
          <w:numId w:val="2"/>
        </w:numPr>
        <w:spacing w:after="60"/>
      </w:pPr>
      <w:r>
        <w:rPr>
          <w:rFonts w:ascii="Arial" w:cs="Arial" w:eastAsia="Arial" w:hAnsi="Arial"/>
          <w:sz w:val="22"/>
          <w:szCs w:val="22"/>
        </w:rPr>
        <w:t xml:space="preserve">Tower erection during sustained winds &gt;40 km/h.</w:t>
      </w:r>
    </w:p>
    <w:p>
      <w:pPr>
        <w:pStyle w:val="ListParagraph"/>
        <w:numPr>
          <w:ilvl w:val="0"/>
          <w:numId w:val="2"/>
        </w:numPr>
        <w:spacing w:after="60"/>
      </w:pPr>
      <w:r>
        <w:rPr>
          <w:rFonts w:ascii="Arial" w:cs="Arial" w:eastAsia="Arial" w:hAnsi="Arial"/>
          <w:sz w:val="22"/>
          <w:szCs w:val="22"/>
        </w:rPr>
        <w:t xml:space="preserve">Crane operation without certified operator or with overloaded chart.</w:t>
      </w:r>
    </w:p>
    <w:p>
      <w:pPr>
        <w:pStyle w:val="ListParagraph"/>
        <w:numPr>
          <w:ilvl w:val="0"/>
          <w:numId w:val="2"/>
        </w:numPr>
        <w:spacing w:after="60"/>
      </w:pPr>
      <w:r>
        <w:rPr>
          <w:rFonts w:ascii="Arial" w:cs="Arial" w:eastAsia="Arial" w:hAnsi="Arial"/>
          <w:sz w:val="22"/>
          <w:szCs w:val="22"/>
        </w:rPr>
        <w:t xml:space="preserve">Electrical work on energized lines without lockout/tagout.</w:t>
      </w:r>
    </w:p>
    <w:p>
      <w:pPr>
        <w:pStyle w:val="ListParagraph"/>
        <w:numPr>
          <w:ilvl w:val="0"/>
          <w:numId w:val="2"/>
        </w:numPr>
        <w:spacing w:after="60"/>
      </w:pPr>
      <w:r>
        <w:rPr>
          <w:rFonts w:ascii="Arial" w:cs="Arial" w:eastAsia="Arial" w:hAnsi="Arial"/>
          <w:sz w:val="22"/>
          <w:szCs w:val="22"/>
        </w:rPr>
        <w:t xml:space="preserve">Excavation &gt;1.5m without shoring or sloping.</w:t>
      </w:r>
    </w:p>
    <w:p>
      <w:pPr>
        <w:pStyle w:val="ListParagraph"/>
        <w:numPr>
          <w:ilvl w:val="0"/>
          <w:numId w:val="2"/>
        </w:numPr>
        <w:spacing w:after="60"/>
      </w:pPr>
      <w:r>
        <w:rPr>
          <w:rFonts w:ascii="Arial" w:cs="Arial" w:eastAsia="Arial" w:hAnsi="Arial"/>
          <w:sz w:val="22"/>
          <w:szCs w:val="22"/>
        </w:rPr>
        <w:t xml:space="preserve">Welding/hot work without fire watch or fire extinguisher within 3m.</w:t>
      </w:r>
    </w:p>
    <w:p>
      <w:pPr>
        <w:pStyle w:val="ListParagraph"/>
        <w:numPr>
          <w:ilvl w:val="0"/>
          <w:numId w:val="2"/>
        </w:numPr>
        <w:spacing w:after="60"/>
      </w:pPr>
      <w:r>
        <w:rPr>
          <w:rFonts w:ascii="Arial" w:cs="Arial" w:eastAsia="Arial" w:hAnsi="Arial"/>
          <w:sz w:val="22"/>
          <w:szCs w:val="22"/>
        </w:rPr>
        <w:t xml:space="preserve">Workers visibly intoxicated or impaired.</w:t>
      </w:r>
    </w:p>
    <w:p>
      <w:pPr>
        <w:pStyle w:val="ListParagraph"/>
        <w:numPr>
          <w:ilvl w:val="0"/>
          <w:numId w:val="2"/>
        </w:numPr>
        <w:spacing w:after="60"/>
      </w:pPr>
      <w:r>
        <w:rPr>
          <w:rFonts w:ascii="Arial" w:cs="Arial" w:eastAsia="Arial" w:hAnsi="Arial"/>
          <w:sz w:val="22"/>
          <w:szCs w:val="22"/>
        </w:rPr>
        <w:t xml:space="preserve">No CSHP on-site or no safety officer present.</w:t>
      </w:r>
    </w:p>
    <w:p>
      <w:pPr>
        <w:pStyle w:val="ListParagraph"/>
        <w:numPr>
          <w:ilvl w:val="0"/>
          <w:numId w:val="2"/>
        </w:numPr>
        <w:spacing w:after="60"/>
      </w:pPr>
      <w:r>
        <w:rPr>
          <w:rFonts w:ascii="Arial" w:cs="Arial" w:eastAsia="Arial" w:hAnsi="Arial"/>
          <w:sz w:val="22"/>
          <w:szCs w:val="22"/>
        </w:rPr>
        <w:t xml:space="preserve">Active typhoon signal #2 or higher in the area.</w:t>
      </w:r>
    </w:p>
    <w:p>
      <w:pPr>
        <w:pStyle w:val="ListParagraph"/>
        <w:numPr>
          <w:ilvl w:val="0"/>
          <w:numId w:val="2"/>
        </w:numPr>
        <w:spacing w:after="60"/>
      </w:pPr>
      <w:r>
        <w:rPr>
          <w:rFonts w:ascii="Arial" w:cs="Arial" w:eastAsia="Arial" w:hAnsi="Arial"/>
          <w:sz w:val="22"/>
          <w:szCs w:val="22"/>
        </w:rPr>
        <w:t xml:space="preserve">Lessor/neighbor demand to stop work (resolve via SAQ before resuming).</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Resumption Conditions</w:t>
      </w:r>
    </w:p>
    <w:p>
      <w:pPr>
        <w:pStyle w:val="ListParagraph"/>
        <w:numPr>
          <w:ilvl w:val="0"/>
          <w:numId w:val="2"/>
        </w:numPr>
        <w:spacing w:after="60"/>
      </w:pPr>
      <w:r>
        <w:rPr>
          <w:rFonts w:ascii="Arial" w:cs="Arial" w:eastAsia="Arial" w:hAnsi="Arial"/>
          <w:sz w:val="22"/>
          <w:szCs w:val="22"/>
        </w:rPr>
        <w:t xml:space="preserve">Root cause documented and corrective actions implemented.</w:t>
      </w:r>
    </w:p>
    <w:p>
      <w:pPr>
        <w:pStyle w:val="ListParagraph"/>
        <w:numPr>
          <w:ilvl w:val="0"/>
          <w:numId w:val="2"/>
        </w:numPr>
        <w:spacing w:after="60"/>
      </w:pPr>
      <w:r>
        <w:rPr>
          <w:rFonts w:ascii="Arial" w:cs="Arial" w:eastAsia="Arial" w:hAnsi="Arial"/>
          <w:sz w:val="22"/>
          <w:szCs w:val="22"/>
        </w:rPr>
        <w:t xml:space="preserve">All affected workers re-trained / re-briefed.</w:t>
      </w:r>
    </w:p>
    <w:p>
      <w:pPr>
        <w:pStyle w:val="ListParagraph"/>
        <w:numPr>
          <w:ilvl w:val="0"/>
          <w:numId w:val="2"/>
        </w:numPr>
        <w:spacing w:after="60"/>
      </w:pPr>
      <w:r>
        <w:rPr>
          <w:rFonts w:ascii="Arial" w:cs="Arial" w:eastAsia="Arial" w:hAnsi="Arial"/>
          <w:sz w:val="22"/>
          <w:szCs w:val="22"/>
        </w:rPr>
        <w:t xml:space="preserve">Safety walk-down and sign-off by SO2 + CME PM.</w:t>
      </w:r>
    </w:p>
    <w:p>
      <w:pPr>
        <w:pStyle w:val="ListParagraph"/>
        <w:numPr>
          <w:ilvl w:val="0"/>
          <w:numId w:val="2"/>
        </w:numPr>
        <w:spacing w:after="60"/>
      </w:pPr>
      <w:r>
        <w:rPr>
          <w:rFonts w:ascii="Arial" w:cs="Arial" w:eastAsia="Arial" w:hAnsi="Arial"/>
          <w:sz w:val="22"/>
          <w:szCs w:val="22"/>
        </w:rPr>
        <w:t xml:space="preserve">Stop-Work Lift Notice issued in writing.</w:t>
      </w:r>
    </w:p>
    <w:p>
      <w:pPr>
        <w:pStyle w:val="ListParagraph"/>
        <w:numPr>
          <w:ilvl w:val="0"/>
          <w:numId w:val="2"/>
        </w:numPr>
        <w:spacing w:after="60"/>
      </w:pPr>
      <w:r>
        <w:rPr>
          <w:rFonts w:ascii="Arial" w:cs="Arial" w:eastAsia="Arial" w:hAnsi="Arial"/>
          <w:sz w:val="22"/>
          <w:szCs w:val="22"/>
        </w:rPr>
        <w:t xml:space="preserve">If LTI/fatality: DOLE clearance to resume.</w:t>
      </w:r>
    </w:p>
    <w:p>
      <w:pPr>
        <w:pStyle w:val="Heading1"/>
        <w:pageBreakBefore/>
        <w:spacing w:after="240" w:before="240"/>
      </w:pPr>
      <w:r>
        <w:rPr>
          <w:rFonts w:ascii="Arial" w:cs="Arial" w:eastAsia="Arial" w:hAnsi="Arial"/>
        </w:rPr>
        <w:t xml:space="preserve">5. Engineering — Power Manager &amp; Post-Construction</w:t>
      </w:r>
    </w:p>
    <w:p>
      <w:pPr>
        <w:pStyle w:val="Heading2"/>
        <w:spacing w:after="180" w:before="240"/>
      </w:pPr>
      <w:r>
        <w:rPr>
          <w:rFonts w:ascii="Arial" w:cs="Arial" w:eastAsia="Arial" w:hAnsi="Arial"/>
        </w:rPr>
        <w:t xml:space="preserve">5.1 Scope &amp; Mandate</w:t>
      </w:r>
    </w:p>
    <w:p>
      <w:pPr>
        <w:spacing w:after="120" w:before="0"/>
      </w:pPr>
      <w:r>
        <w:rPr>
          <w:rFonts w:ascii="Arial" w:cs="Arial" w:eastAsia="Arial" w:hAnsi="Arial"/>
        </w:rPr>
        <w:t xml:space="preserve">Power Manager owns: ROW clearing coordination, commercial power application, energization, CFEI compliance, and the Temporary-to-Permanent Power transition — the single largest source of "Civil Works Completed – No Power" stuck inventory. As shown in WK3 PMO data, 19 sites sat in this state with specific blockers like "Joint survey with INEC and Lessor for ROW clearing" and "Tempo power application c/o ANGAT."</w:t>
      </w:r>
    </w:p>
    <w:p>
      <w:pPr>
        <w:pStyle w:val="Heading2"/>
        <w:spacing w:after="180" w:before="240"/>
      </w:pPr>
      <w:r>
        <w:rPr>
          <w:rFonts w:ascii="Arial" w:cs="Arial" w:eastAsia="Arial" w:hAnsi="Arial"/>
        </w:rPr>
        <w:t xml:space="preserve">5.2 Joint ROW Clearing Checklist</w:t>
      </w:r>
    </w:p>
    <w:p>
      <w:pPr>
        <w:spacing w:after="80" w:before="0"/>
      </w:pPr>
      <w:r>
        <w:rPr>
          <w:rFonts w:ascii="Arial" w:cs="Arial" w:eastAsia="Arial" w:hAnsi="Arial"/>
          <w:i/>
          <w:iCs/>
        </w:rPr>
        <w:t xml:space="preserve">Triggered when commercial power requires clearing along ROW (tree trimming, tapping point work, transformer relocation, primary line extension).</w:t>
      </w:r>
    </w:p>
    <w:p>
      <w:pPr>
        <w:spacing w:after="60"/>
        <w:ind w:left="360"/>
      </w:pPr>
      <w:r>
        <w:rPr>
          <w:rFonts w:ascii="Arial" w:cs="Arial" w:eastAsia="Arial" w:hAnsi="Arial"/>
          <w:sz w:val="22"/>
          <w:szCs w:val="22"/>
        </w:rPr>
        <w:t xml:space="preserve">☐  ROW route survey completed jointly by: Power Vendor + Electric Cooperative (or MERALCO) representative + Lessor + adjacent landowners + LGU representative (where ROW crosses public road).</w:t>
      </w:r>
    </w:p>
    <w:p>
      <w:pPr>
        <w:spacing w:after="60"/>
        <w:ind w:left="360"/>
      </w:pPr>
      <w:r>
        <w:rPr>
          <w:rFonts w:ascii="Arial" w:cs="Arial" w:eastAsia="Arial" w:hAnsi="Arial"/>
          <w:sz w:val="22"/>
          <w:szCs w:val="22"/>
        </w:rPr>
        <w:t xml:space="preserve">☐  Each tree/obstruction tagged with GPS, owner, and clearing action.</w:t>
      </w:r>
    </w:p>
    <w:p>
      <w:pPr>
        <w:spacing w:after="60"/>
        <w:ind w:left="360"/>
      </w:pPr>
      <w:r>
        <w:rPr>
          <w:rFonts w:ascii="Arial" w:cs="Arial" w:eastAsia="Arial" w:hAnsi="Arial"/>
          <w:sz w:val="22"/>
          <w:szCs w:val="22"/>
        </w:rPr>
        <w:t xml:space="preserve">☐  Trees: PNoy E.O. on tree cutting compliance (DENR Special Tree Cutting Permit / LGU tree cutting permit).</w:t>
      </w:r>
    </w:p>
    <w:p>
      <w:pPr>
        <w:spacing w:after="60"/>
        <w:ind w:left="360"/>
      </w:pPr>
      <w:r>
        <w:rPr>
          <w:rFonts w:ascii="Arial" w:cs="Arial" w:eastAsia="Arial" w:hAnsi="Arial"/>
          <w:sz w:val="22"/>
          <w:szCs w:val="22"/>
        </w:rPr>
        <w:t xml:space="preserve">☐  Compensation schedule agreed per landowner (in writing).</w:t>
      </w:r>
    </w:p>
    <w:p>
      <w:pPr>
        <w:spacing w:after="60"/>
        <w:ind w:left="360"/>
      </w:pPr>
      <w:r>
        <w:rPr>
          <w:rFonts w:ascii="Arial" w:cs="Arial" w:eastAsia="Arial" w:hAnsi="Arial"/>
          <w:sz w:val="22"/>
          <w:szCs w:val="22"/>
        </w:rPr>
        <w:t xml:space="preserve">☐  ROW Clearing Cost Quote received from Power Vendor (transparent line items, not lump-sum).</w:t>
      </w:r>
    </w:p>
    <w:p>
      <w:pPr>
        <w:spacing w:after="60"/>
        <w:ind w:left="360"/>
      </w:pPr>
      <w:r>
        <w:rPr>
          <w:rFonts w:ascii="Arial" w:cs="Arial" w:eastAsia="Arial" w:hAnsi="Arial"/>
          <w:sz w:val="22"/>
          <w:szCs w:val="22"/>
        </w:rPr>
        <w:t xml:space="preserve">☐  Insurance/bond from Power Vendor for property damage during clearing.</w:t>
      </w:r>
    </w:p>
    <w:p>
      <w:pPr>
        <w:spacing w:after="60"/>
        <w:ind w:left="360"/>
      </w:pPr>
      <w:r>
        <w:rPr>
          <w:rFonts w:ascii="Arial" w:cs="Arial" w:eastAsia="Arial" w:hAnsi="Arial"/>
          <w:sz w:val="22"/>
          <w:szCs w:val="22"/>
        </w:rPr>
        <w:t xml:space="preserve">☐  Clearing schedule aligned with construction Gantt — does NOT block tower erection.</w:t>
      </w:r>
    </w:p>
    <w:p>
      <w:pPr>
        <w:spacing w:after="60"/>
        <w:ind w:left="360"/>
      </w:pPr>
      <w:r>
        <w:rPr>
          <w:rFonts w:ascii="Arial" w:cs="Arial" w:eastAsia="Arial" w:hAnsi="Arial"/>
          <w:sz w:val="22"/>
          <w:szCs w:val="22"/>
        </w:rPr>
        <w:t xml:space="preserve">☐  Daily clearing progress logged in Daily Construction Report.</w:t>
      </w:r>
    </w:p>
    <w:p>
      <w:pPr>
        <w:spacing w:after="60"/>
        <w:ind w:left="360"/>
      </w:pPr>
      <w:r>
        <w:rPr>
          <w:rFonts w:ascii="Arial" w:cs="Arial" w:eastAsia="Arial" w:hAnsi="Arial"/>
          <w:sz w:val="22"/>
          <w:szCs w:val="22"/>
        </w:rPr>
        <w:t xml:space="preserve">☐  Post-clearing inspection by Electric Cooperative/MERALCO; clearance certificate obtained.</w:t>
      </w:r>
    </w:p>
    <w:p>
      <w:pPr>
        <w:pStyle w:val="Heading2"/>
        <w:spacing w:after="180" w:before="240"/>
      </w:pPr>
      <w:r>
        <w:rPr>
          <w:rFonts w:ascii="Arial" w:cs="Arial" w:eastAsia="Arial" w:hAnsi="Arial"/>
        </w:rPr>
        <w:t xml:space="preserve">5.3 Commercial Power Application Checklist</w:t>
      </w:r>
    </w:p>
    <w:p>
      <w:pPr>
        <w:spacing w:after="60"/>
        <w:ind w:left="360"/>
      </w:pPr>
      <w:r>
        <w:rPr>
          <w:rFonts w:ascii="Arial" w:cs="Arial" w:eastAsia="Arial" w:hAnsi="Arial"/>
          <w:sz w:val="22"/>
          <w:szCs w:val="22"/>
        </w:rPr>
        <w:t xml:space="preserve">☐  Application form filled out per serving utility (MERALCO / Electric Cooperative).</w:t>
      </w:r>
    </w:p>
    <w:p>
      <w:pPr>
        <w:spacing w:after="60"/>
        <w:ind w:left="360"/>
      </w:pPr>
      <w:r>
        <w:rPr>
          <w:rFonts w:ascii="Arial" w:cs="Arial" w:eastAsia="Arial" w:hAnsi="Arial"/>
          <w:sz w:val="22"/>
          <w:szCs w:val="22"/>
        </w:rPr>
        <w:t xml:space="preserve">☐  Required documents per utility: Building Permit, Electrical Permit, PEC compliance, single-line diagram, location plan, lessor's authorization or sub-meter request, customer ID.</w:t>
      </w:r>
    </w:p>
    <w:p>
      <w:pPr>
        <w:spacing w:after="60"/>
        <w:ind w:left="360"/>
      </w:pPr>
      <w:r>
        <w:rPr>
          <w:rFonts w:ascii="Arial" w:cs="Arial" w:eastAsia="Arial" w:hAnsi="Arial"/>
          <w:sz w:val="22"/>
          <w:szCs w:val="22"/>
        </w:rPr>
        <w:t xml:space="preserve">☐  Application fee paid; OR# attached.</w:t>
      </w:r>
    </w:p>
    <w:p>
      <w:pPr>
        <w:spacing w:after="60"/>
        <w:ind w:left="360"/>
      </w:pPr>
      <w:r>
        <w:rPr>
          <w:rFonts w:ascii="Arial" w:cs="Arial" w:eastAsia="Arial" w:hAnsi="Arial"/>
          <w:sz w:val="22"/>
          <w:szCs w:val="22"/>
        </w:rPr>
        <w:t xml:space="preserve">☐  Pre-energization Inspection scheduled.</w:t>
      </w:r>
    </w:p>
    <w:p>
      <w:pPr>
        <w:spacing w:after="60"/>
        <w:ind w:left="360"/>
      </w:pPr>
      <w:r>
        <w:rPr>
          <w:rFonts w:ascii="Arial" w:cs="Arial" w:eastAsia="Arial" w:hAnsi="Arial"/>
          <w:sz w:val="22"/>
          <w:szCs w:val="22"/>
        </w:rPr>
        <w:t xml:space="preserve">☐  PEC compliance verified: rectifier OCP, AC distribution, grounding, lightning protection.</w:t>
      </w:r>
    </w:p>
    <w:p>
      <w:pPr>
        <w:spacing w:after="60"/>
        <w:ind w:left="360"/>
      </w:pPr>
      <w:r>
        <w:rPr>
          <w:rFonts w:ascii="Arial" w:cs="Arial" w:eastAsia="Arial" w:hAnsi="Arial"/>
          <w:sz w:val="22"/>
          <w:szCs w:val="22"/>
        </w:rPr>
        <w:t xml:space="preserve">☐  Energization Declaration issued by utility after inspection.</w:t>
      </w:r>
    </w:p>
    <w:p>
      <w:pPr>
        <w:spacing w:after="60"/>
        <w:ind w:left="360"/>
      </w:pPr>
      <w:r>
        <w:rPr>
          <w:rFonts w:ascii="Arial" w:cs="Arial" w:eastAsia="Arial" w:hAnsi="Arial"/>
          <w:sz w:val="22"/>
          <w:szCs w:val="22"/>
        </w:rPr>
        <w:t xml:space="preserve">☐  Meter installed; meter reading at energization recorded.</w:t>
      </w:r>
    </w:p>
    <w:p>
      <w:pPr>
        <w:spacing w:after="60"/>
        <w:ind w:left="360"/>
      </w:pPr>
      <w:r>
        <w:rPr>
          <w:rFonts w:ascii="Arial" w:cs="Arial" w:eastAsia="Arial" w:hAnsi="Arial"/>
          <w:sz w:val="22"/>
          <w:szCs w:val="22"/>
        </w:rPr>
        <w:t xml:space="preserve">☐  Account number, billing address, billing cycle confirmed.</w:t>
      </w:r>
    </w:p>
    <w:p>
      <w:pPr>
        <w:spacing w:after="60"/>
        <w:ind w:left="360"/>
      </w:pPr>
      <w:r>
        <w:rPr>
          <w:rFonts w:ascii="Arial" w:cs="Arial" w:eastAsia="Arial" w:hAnsi="Arial"/>
          <w:sz w:val="22"/>
          <w:szCs w:val="22"/>
        </w:rPr>
        <w:t xml:space="preserve">☐  Demand load registration (kVA) confirmed.</w:t>
      </w:r>
    </w:p>
    <w:p>
      <w:pPr>
        <w:pStyle w:val="Heading2"/>
        <w:spacing w:after="180" w:before="240"/>
      </w:pPr>
      <w:r>
        <w:rPr>
          <w:rFonts w:ascii="Arial" w:cs="Arial" w:eastAsia="Arial" w:hAnsi="Arial"/>
        </w:rPr>
        <w:t xml:space="preserve">5.4 Certificate of Final Electrical Inspection (CFEI)</w:t>
      </w:r>
    </w:p>
    <w:p>
      <w:pPr>
        <w:spacing w:after="60"/>
        <w:ind w:left="360"/>
      </w:pPr>
      <w:r>
        <w:rPr>
          <w:rFonts w:ascii="Arial" w:cs="Arial" w:eastAsia="Arial" w:hAnsi="Arial"/>
          <w:sz w:val="22"/>
          <w:szCs w:val="22"/>
        </w:rPr>
        <w:t xml:space="preserve">☐  CFEI application filed with LGU Office of the Building Official (OBO) post-installation.</w:t>
      </w:r>
    </w:p>
    <w:p>
      <w:pPr>
        <w:spacing w:after="60"/>
        <w:ind w:left="360"/>
      </w:pPr>
      <w:r>
        <w:rPr>
          <w:rFonts w:ascii="Arial" w:cs="Arial" w:eastAsia="Arial" w:hAnsi="Arial"/>
          <w:sz w:val="22"/>
          <w:szCs w:val="22"/>
        </w:rPr>
        <w:t xml:space="preserve">☐  CFEI inspection scheduled; PEE/REE attends; rectifier and DC plant energized and tested in presence of inspector.</w:t>
      </w:r>
    </w:p>
    <w:p>
      <w:pPr>
        <w:spacing w:after="60"/>
        <w:ind w:left="360"/>
      </w:pPr>
      <w:r>
        <w:rPr>
          <w:rFonts w:ascii="Arial" w:cs="Arial" w:eastAsia="Arial" w:hAnsi="Arial"/>
          <w:sz w:val="22"/>
          <w:szCs w:val="22"/>
        </w:rPr>
        <w:t xml:space="preserve">☐  CFEI issued by LGU.</w:t>
      </w:r>
    </w:p>
    <w:p>
      <w:pPr>
        <w:spacing w:after="60"/>
        <w:ind w:left="360"/>
      </w:pPr>
      <w:r>
        <w:rPr>
          <w:rFonts w:ascii="Arial" w:cs="Arial" w:eastAsia="Arial" w:hAnsi="Arial"/>
          <w:sz w:val="22"/>
          <w:szCs w:val="22"/>
        </w:rPr>
        <w:t xml:space="preserve">☐  CFEI submitted to serving utility (if not already submitted via energization).</w:t>
      </w:r>
    </w:p>
    <w:p>
      <w:pPr>
        <w:spacing w:after="60"/>
        <w:ind w:left="360"/>
      </w:pPr>
      <w:r>
        <w:rPr>
          <w:rFonts w:ascii="Arial" w:cs="Arial" w:eastAsia="Arial" w:hAnsi="Arial"/>
          <w:sz w:val="22"/>
          <w:szCs w:val="22"/>
        </w:rPr>
        <w:t xml:space="preserve">☐  CFEI copy in Site Tracker as Control Doc.</w:t>
      </w:r>
    </w:p>
    <w:p>
      <w:pPr>
        <w:pStyle w:val="Heading2"/>
        <w:spacing w:after="180" w:before="240"/>
      </w:pPr>
      <w:r>
        <w:rPr>
          <w:rFonts w:ascii="Arial" w:cs="Arial" w:eastAsia="Arial" w:hAnsi="Arial"/>
        </w:rPr>
        <w:t xml:space="preserve">5.5 Handover to Operations &amp; Maintenance (O&amp;M) Checklist</w:t>
      </w:r>
    </w:p>
    <w:p>
      <w:pPr>
        <w:spacing w:after="60"/>
        <w:ind w:left="360"/>
      </w:pPr>
      <w:r>
        <w:rPr>
          <w:rFonts w:ascii="Arial" w:cs="Arial" w:eastAsia="Arial" w:hAnsi="Arial"/>
          <w:sz w:val="22"/>
          <w:szCs w:val="22"/>
        </w:rPr>
        <w:t xml:space="preserve">☐  Final RFI Certificate accepted by MNO (Site Commencement Date triggered).</w:t>
      </w:r>
    </w:p>
    <w:p>
      <w:pPr>
        <w:spacing w:after="60"/>
        <w:ind w:left="360"/>
      </w:pPr>
      <w:r>
        <w:rPr>
          <w:rFonts w:ascii="Arial" w:cs="Arial" w:eastAsia="Arial" w:hAnsi="Arial"/>
          <w:sz w:val="22"/>
          <w:szCs w:val="22"/>
        </w:rPr>
        <w:t xml:space="preserve">☐  Site Care Pack handed to O&amp;M: site dossier (all permits, lease, drawings, test reports), O&amp;M manual, vendor contact list, NOC monitoring access.</w:t>
      </w:r>
    </w:p>
    <w:p>
      <w:pPr>
        <w:spacing w:after="60"/>
        <w:ind w:left="360"/>
      </w:pPr>
      <w:r>
        <w:rPr>
          <w:rFonts w:ascii="Arial" w:cs="Arial" w:eastAsia="Arial" w:hAnsi="Arial"/>
          <w:sz w:val="22"/>
          <w:szCs w:val="22"/>
        </w:rPr>
        <w:t xml:space="preserve">☐  Spare parts inventory list confirmed.</w:t>
      </w:r>
    </w:p>
    <w:p>
      <w:pPr>
        <w:spacing w:after="60"/>
        <w:ind w:left="360"/>
      </w:pPr>
      <w:r>
        <w:rPr>
          <w:rFonts w:ascii="Arial" w:cs="Arial" w:eastAsia="Arial" w:hAnsi="Arial"/>
          <w:sz w:val="22"/>
          <w:szCs w:val="22"/>
        </w:rPr>
        <w:t xml:space="preserve">☐  Preventive maintenance schedule loaded into CMMS.</w:t>
      </w:r>
    </w:p>
    <w:p>
      <w:pPr>
        <w:spacing w:after="60"/>
        <w:ind w:left="360"/>
      </w:pPr>
      <w:r>
        <w:rPr>
          <w:rFonts w:ascii="Arial" w:cs="Arial" w:eastAsia="Arial" w:hAnsi="Arial"/>
          <w:sz w:val="22"/>
          <w:szCs w:val="22"/>
        </w:rPr>
        <w:t xml:space="preserve">☐  On-call/responder team assigned (Tier 1, Tier 2, Tier 3).</w:t>
      </w:r>
    </w:p>
    <w:p>
      <w:pPr>
        <w:spacing w:after="60"/>
        <w:ind w:left="360"/>
      </w:pPr>
      <w:r>
        <w:rPr>
          <w:rFonts w:ascii="Arial" w:cs="Arial" w:eastAsia="Arial" w:hAnsi="Arial"/>
          <w:sz w:val="22"/>
          <w:szCs w:val="22"/>
        </w:rPr>
        <w:t xml:space="preserve">☐  Insurance: site added to property/casualty policy schedule.</w:t>
      </w:r>
    </w:p>
    <w:p>
      <w:pPr>
        <w:spacing w:after="60"/>
        <w:ind w:left="360"/>
      </w:pPr>
      <w:r>
        <w:rPr>
          <w:rFonts w:ascii="Arial" w:cs="Arial" w:eastAsia="Arial" w:hAnsi="Arial"/>
          <w:sz w:val="22"/>
          <w:szCs w:val="22"/>
        </w:rPr>
        <w:t xml:space="preserve">☐  Asset Register update: GIS coordinates, asset tag, capitalization journal entry.</w:t>
      </w:r>
    </w:p>
    <w:p>
      <w:pPr>
        <w:spacing w:after="60"/>
        <w:ind w:left="360"/>
      </w:pPr>
      <w:r>
        <w:rPr>
          <w:rFonts w:ascii="Arial" w:cs="Arial" w:eastAsia="Arial" w:hAnsi="Arial"/>
          <w:sz w:val="22"/>
          <w:szCs w:val="22"/>
        </w:rPr>
        <w:t xml:space="preserve">☐  60-day defect liability period clock starts (DLP).</w:t>
      </w:r>
    </w:p>
    <w:p>
      <w:pPr>
        <w:spacing w:after="60"/>
        <w:ind w:left="360"/>
      </w:pPr>
      <w:r>
        <w:rPr>
          <w:rFonts w:ascii="Arial" w:cs="Arial" w:eastAsia="Arial" w:hAnsi="Arial"/>
          <w:sz w:val="22"/>
          <w:szCs w:val="22"/>
        </w:rPr>
        <w:t xml:space="preserve">☐  Snag list (if any) tracked to closure.</w:t>
      </w:r>
    </w:p>
    <w:p>
      <w:pPr>
        <w:spacing w:after="60"/>
        <w:ind w:left="360"/>
      </w:pPr>
      <w:r>
        <w:rPr>
          <w:rFonts w:ascii="Arial" w:cs="Arial" w:eastAsia="Arial" w:hAnsi="Arial"/>
          <w:sz w:val="22"/>
          <w:szCs w:val="22"/>
        </w:rPr>
        <w:t xml:space="preserve">☐  First MNO billing month-end completed.</w:t>
      </w:r>
    </w:p>
    <w:p>
      <w:pPr>
        <w:pStyle w:val="Heading2"/>
        <w:spacing w:after="180" w:before="240"/>
      </w:pPr>
      <w:r>
        <w:rPr>
          <w:rFonts w:ascii="Arial" w:cs="Arial" w:eastAsia="Arial" w:hAnsi="Arial"/>
        </w:rPr>
        <w:t xml:space="preserve">5.6 Permanent Power Tracker — Field-by-Field Format</w:t>
      </w:r>
    </w:p>
    <w:p>
      <w:pPr>
        <w:spacing w:after="80" w:before="0"/>
      </w:pPr>
      <w:r>
        <w:rPr>
          <w:rFonts w:ascii="Arial" w:cs="Arial" w:eastAsia="Arial" w:hAnsi="Arial"/>
          <w:i/>
          <w:iCs/>
        </w:rPr>
        <w:t xml:space="preserve">The Permanent Power Tracker is a sub-tracker of the Master Site Tracker, specifically for sites in or transitioning out of "Civil Works Completed – No Power"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Example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 Region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Current Power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 Power / Temp Power (Genset) / Temp Power (Tap) / Permanent Energized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Civil Works Completion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Days in "No Power"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Auto-calculated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Serving Utility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MERALCO / Electric Coop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Utility Contact Person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 + role + mobile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Application Filed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Application Reference Number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utility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Required Documents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Complete / Pending (list)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Pre-Energization Inspection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Scheduled / Done — date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Clearing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Not required / In progress / Completed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Clearing Estimated Cost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 Clearing Actual Cost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Joint Survey Date (if applicable)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 + attendees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Tree Cutting Permit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Not required / Filed / Issued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Easement / ROW Owner Compensation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Pending / Paid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Temp Power Source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Genset (vendor) / Lessor tap / Adjacent site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Temp Power Monthly Cost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Temp Power Days Used (cumulative)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Numeric</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Temp Power MNO Back-Charge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Not yet / Invoiced / Paid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Permanent Power Target Energization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Energization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CFEI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Pending / Filed / Issued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Notified of Permanent Energization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(date)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RFI Submitted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Issues / Blockers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Escalation Level (per §6)</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L1 / L2 / L3 / ManCom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Owner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Power Officer name</w:t>
            </w:r>
          </w:p>
        </w:tc>
      </w:tr>
    </w:tbl>
    <w:p>
      <w:pPr>
        <w:pStyle w:val="Heading2"/>
        <w:spacing w:after="180" w:before="240"/>
      </w:pPr>
      <w:r>
        <w:rPr>
          <w:rFonts w:ascii="Arial" w:cs="Arial" w:eastAsia="Arial" w:hAnsi="Arial"/>
        </w:rPr>
        <w:t xml:space="preserve">5.7 Temporary-to-Permanent Power Policy &amp; Commercial SLAs</w:t>
      </w:r>
    </w:p>
    <w:p>
      <w:pPr>
        <w:spacing w:after="120" w:before="0"/>
      </w:pPr>
      <w:r>
        <w:rPr>
          <w:rFonts w:ascii="Arial" w:cs="Arial" w:eastAsia="Arial" w:hAnsi="Arial"/>
          <w:i/>
          <w:iCs/>
        </w:rPr>
        <w:t xml:space="preserve">Per MLA Clause 3.5(a) and (referenced in the source text around the Commercial Power Delivery Period at lines 1497–1512 of the MLA): if commercial power is not available within 30 days from end of Delivery Period (the "Commercial Power Delivery Period"), TowerCo may invoke temp-power provisions; the Commercial Power Delivery Period is added to the Delivery Period for purposes of liquidated damages calculation. The transition policy below operationalizes this.</w:t>
      </w:r>
    </w:p>
    <w:p>
      <w:pPr>
        <w:pStyle w:val="Heading3"/>
        <w:spacing w:after="120" w:before="180"/>
      </w:pPr>
      <w:r>
        <w:rPr>
          <w:rFonts w:ascii="Arial" w:cs="Arial" w:eastAsia="Arial" w:hAnsi="Arial"/>
        </w:rPr>
        <w:t xml:space="preserve">Decision Tree</w:t>
      </w:r>
    </w:p>
    <w:p>
      <w:pPr>
        <w:pStyle w:val="ListParagraph"/>
        <w:numPr>
          <w:ilvl w:val="0"/>
          <w:numId w:val="3"/>
        </w:numPr>
        <w:spacing w:after="60"/>
      </w:pPr>
      <w:r>
        <w:rPr>
          <w:rFonts w:ascii="Arial" w:cs="Arial" w:eastAsia="Arial" w:hAnsi="Arial"/>
          <w:sz w:val="22"/>
          <w:szCs w:val="22"/>
        </w:rPr>
        <w:t xml:space="preserve">If commercial power energized by end of Day 120: standard RFI; no temp power required.</w:t>
      </w:r>
    </w:p>
    <w:p>
      <w:pPr>
        <w:pStyle w:val="ListParagraph"/>
        <w:numPr>
          <w:ilvl w:val="0"/>
          <w:numId w:val="3"/>
        </w:numPr>
        <w:spacing w:after="60"/>
      </w:pPr>
      <w:r>
        <w:rPr>
          <w:rFonts w:ascii="Arial" w:cs="Arial" w:eastAsia="Arial" w:hAnsi="Arial"/>
          <w:sz w:val="22"/>
          <w:szCs w:val="22"/>
        </w:rPr>
        <w:t xml:space="preserve">If commercial power not energized by Day 120 BUT energization scheduled within 30 days (Commercial Power Delivery Period): RFI may be submitted under "Pending Permanent Power" with temp power on; the 30-day Commercial Power Delivery Period is added to Delivery Period for LD calculation.</w:t>
      </w:r>
    </w:p>
    <w:p>
      <w:pPr>
        <w:pStyle w:val="ListParagraph"/>
        <w:numPr>
          <w:ilvl w:val="0"/>
          <w:numId w:val="3"/>
        </w:numPr>
        <w:spacing w:after="60"/>
      </w:pPr>
      <w:r>
        <w:rPr>
          <w:rFonts w:ascii="Arial" w:cs="Arial" w:eastAsia="Arial" w:hAnsi="Arial"/>
          <w:sz w:val="22"/>
          <w:szCs w:val="22"/>
        </w:rPr>
        <w:t xml:space="preserve">If permanent energization slips beyond Day 150 (Day 120 + 30): MNO entitled to liquidated damages from Day 151 unless Delay Extension Request approved (or Force Majeure).</w:t>
      </w:r>
    </w:p>
    <w:p>
      <w:pPr>
        <w:pStyle w:val="ListParagraph"/>
        <w:numPr>
          <w:ilvl w:val="0"/>
          <w:numId w:val="3"/>
        </w:numPr>
        <w:spacing w:after="60"/>
      </w:pPr>
      <w:r>
        <w:rPr>
          <w:rFonts w:ascii="Arial" w:cs="Arial" w:eastAsia="Arial" w:hAnsi="Arial"/>
          <w:sz w:val="22"/>
          <w:szCs w:val="22"/>
        </w:rPr>
        <w:t xml:space="preserve">Each calendar day past Day 150 without permanent power and without approved extension accrues LD equal to daily-pro-rated Base Lease Fee.</w:t>
      </w:r>
    </w:p>
    <w:p>
      <w:pPr>
        <w:pStyle w:val="Heading3"/>
        <w:spacing w:after="120" w:before="180"/>
      </w:pPr>
      <w:r>
        <w:rPr>
          <w:rFonts w:ascii="Arial" w:cs="Arial" w:eastAsia="Arial" w:hAnsi="Arial"/>
        </w:rPr>
        <w:t xml:space="preserve">Temporary Power Options &amp; Cost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Temp Source</w:t>
            </w:r>
          </w:p>
        </w:tc>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Typical Use Case</w:t>
            </w:r>
          </w:p>
        </w:tc>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Cost Bearer (Default)</w:t>
            </w:r>
          </w:p>
        </w:tc>
        <w:tc>
          <w:tcPr>
            <w:tcW w:type="dxa" w:w="21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Back-Charge to MNO?</w:t>
            </w:r>
          </w:p>
        </w:tc>
      </w:tr>
      <w:tr>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Diesel Genset (rental)</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Greenfield, no nearby tap, 0–60 days</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TowerCo</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 — within TowerCo's Delivery obligation</w:t>
            </w:r>
          </w:p>
        </w:tc>
      </w:tr>
      <w:tr>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Adjacent property tap</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Urban/rooftop with lessor or neighbor agreement</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TowerCo (consumption to lessor)</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Adjacent TowerCo site</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Cluster / dense urban</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Internal cost allocation</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Solar/Hybrid temporary</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Remote MIN/VIS where genset logistics infeasible</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TowerCo</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24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b/>
                <w:bCs/>
                <w:sz w:val="20"/>
                <w:szCs w:val="20"/>
              </w:rPr>
              <w:t xml:space="preserve">MNO-Provided Temp Power</w:t>
            </w:r>
          </w:p>
        </w:tc>
        <w:tc>
          <w:tcPr>
            <w:tcW w:type="dxa" w:w="24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Where Operator insists on early RFI for radio testing/launch and accepts power risk</w:t>
            </w:r>
          </w:p>
        </w:tc>
        <w:tc>
          <w:tcPr>
            <w:tcW w:type="dxa" w:w="24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MNO</w:t>
            </w:r>
          </w:p>
        </w:tc>
        <w:tc>
          <w:tcPr>
            <w:tcW w:type="dxa" w:w="216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N/A — MNO pays direct</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MNO Back-Charging Rules — Strict Conditions</w:t>
      </w:r>
    </w:p>
    <w:p>
      <w:pPr>
        <w:spacing w:after="80" w:before="0"/>
      </w:pPr>
      <w:r>
        <w:rPr>
          <w:rFonts w:ascii="Arial" w:cs="Arial" w:eastAsia="Arial" w:hAnsi="Arial"/>
        </w:rPr>
        <w:t xml:space="preserve">Back-charging to MNO is the EXCEPTION, not the rule. TowerCo absorbs temp power costs as part of the lease obligation. Back-charging is permitted ONLY when:</w:t>
      </w:r>
    </w:p>
    <w:p>
      <w:pPr>
        <w:pStyle w:val="ListParagraph"/>
        <w:numPr>
          <w:ilvl w:val="0"/>
          <w:numId w:val="2"/>
        </w:numPr>
        <w:spacing w:after="60"/>
      </w:pPr>
      <w:r>
        <w:rPr>
          <w:rFonts w:ascii="Arial" w:cs="Arial" w:eastAsia="Arial" w:hAnsi="Arial"/>
          <w:sz w:val="22"/>
          <w:szCs w:val="22"/>
        </w:rPr>
        <w:t xml:space="preserve">MNO formally requests early RFI / partial energization for their own operational reason (e.g., launch deadline), in writing, AND</w:t>
      </w:r>
    </w:p>
    <w:p>
      <w:pPr>
        <w:pStyle w:val="ListParagraph"/>
        <w:numPr>
          <w:ilvl w:val="0"/>
          <w:numId w:val="2"/>
        </w:numPr>
        <w:spacing w:after="60"/>
      </w:pPr>
      <w:r>
        <w:rPr>
          <w:rFonts w:ascii="Arial" w:cs="Arial" w:eastAsia="Arial" w:hAnsi="Arial"/>
          <w:sz w:val="22"/>
          <w:szCs w:val="22"/>
        </w:rPr>
        <w:t xml:space="preserve">MNO acknowledges in writing that temporary power costs (genset rental, fuel, O&amp;M) during the period will be reimbursed at cost-plus, AND</w:t>
      </w:r>
    </w:p>
    <w:p>
      <w:pPr>
        <w:pStyle w:val="ListParagraph"/>
        <w:numPr>
          <w:ilvl w:val="0"/>
          <w:numId w:val="2"/>
        </w:numPr>
        <w:spacing w:after="60"/>
      </w:pPr>
      <w:r>
        <w:rPr>
          <w:rFonts w:ascii="Arial" w:cs="Arial" w:eastAsia="Arial" w:hAnsi="Arial"/>
          <w:sz w:val="22"/>
          <w:szCs w:val="22"/>
        </w:rPr>
        <w:t xml:space="preserve">A signed Temporary Power Reimbursement Schedule is in place before the meter cut-over, AND</w:t>
      </w:r>
    </w:p>
    <w:p>
      <w:pPr>
        <w:pStyle w:val="ListParagraph"/>
        <w:numPr>
          <w:ilvl w:val="0"/>
          <w:numId w:val="2"/>
        </w:numPr>
        <w:spacing w:after="60"/>
      </w:pPr>
      <w:r>
        <w:rPr>
          <w:rFonts w:ascii="Arial" w:cs="Arial" w:eastAsia="Arial" w:hAnsi="Arial"/>
          <w:sz w:val="22"/>
          <w:szCs w:val="22"/>
        </w:rPr>
        <w:t xml:space="preserve">Back-charge invoices include: genset rental contracts, fuel delivery receipts, kWh meter readings, and a Power Officer attestation.</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Back-Charge Cap &amp; SLA</w:t>
      </w:r>
    </w:p>
    <w:p>
      <w:pPr>
        <w:pStyle w:val="ListParagraph"/>
        <w:numPr>
          <w:ilvl w:val="0"/>
          <w:numId w:val="2"/>
        </w:numPr>
        <w:spacing w:after="60"/>
      </w:pPr>
      <w:r>
        <w:rPr>
          <w:rFonts w:ascii="Arial" w:cs="Arial" w:eastAsia="Arial" w:hAnsi="Arial"/>
          <w:sz w:val="22"/>
          <w:szCs w:val="22"/>
        </w:rPr>
        <w:t xml:space="preserve">Back-charge billing cycle: monthly, within 15 days of month-end.</w:t>
      </w:r>
    </w:p>
    <w:p>
      <w:pPr>
        <w:pStyle w:val="ListParagraph"/>
        <w:numPr>
          <w:ilvl w:val="0"/>
          <w:numId w:val="2"/>
        </w:numPr>
        <w:spacing w:after="60"/>
      </w:pPr>
      <w:r>
        <w:rPr>
          <w:rFonts w:ascii="Arial" w:cs="Arial" w:eastAsia="Arial" w:hAnsi="Arial"/>
          <w:sz w:val="22"/>
          <w:szCs w:val="22"/>
        </w:rPr>
        <w:t xml:space="preserve">MNO payment SLA: 30 days from receipt of properly documented invoice.</w:t>
      </w:r>
    </w:p>
    <w:p>
      <w:pPr>
        <w:pStyle w:val="ListParagraph"/>
        <w:numPr>
          <w:ilvl w:val="0"/>
          <w:numId w:val="2"/>
        </w:numPr>
        <w:spacing w:after="60"/>
      </w:pPr>
      <w:r>
        <w:rPr>
          <w:rFonts w:ascii="Arial" w:cs="Arial" w:eastAsia="Arial" w:hAnsi="Arial"/>
          <w:sz w:val="22"/>
          <w:szCs w:val="22"/>
        </w:rPr>
        <w:t xml:space="preserve">Disputes: routed through Commercial team within 5 working days of invoice receipt; unresolved disputes go to MLA Clause 20 (Disputes).</w:t>
      </w:r>
    </w:p>
    <w:p>
      <w:pPr>
        <w:pStyle w:val="Heading1"/>
        <w:pageBreakBefore/>
        <w:spacing w:after="240" w:before="240"/>
      </w:pPr>
      <w:r>
        <w:rPr>
          <w:rFonts w:ascii="Arial" w:cs="Arial" w:eastAsia="Arial" w:hAnsi="Arial"/>
        </w:rPr>
        <w:t xml:space="preserve">6. Risk Management &amp; Escalation</w:t>
      </w:r>
    </w:p>
    <w:p>
      <w:pPr>
        <w:pStyle w:val="Heading2"/>
        <w:spacing w:after="180" w:before="240"/>
      </w:pPr>
      <w:r>
        <w:rPr>
          <w:rFonts w:ascii="Arial" w:cs="Arial" w:eastAsia="Arial" w:hAnsi="Arial"/>
        </w:rPr>
        <w:t xml:space="preserve">6.1 Escalation Matrix</w:t>
      </w:r>
    </w:p>
    <w:p>
      <w:pPr>
        <w:spacing w:after="120" w:before="0"/>
      </w:pPr>
      <w:r>
        <w:rPr>
          <w:rFonts w:ascii="Arial" w:cs="Arial" w:eastAsia="Arial" w:hAnsi="Arial"/>
        </w:rPr>
        <w:t xml:space="preserve">Five-level escalation framework, mapped to common delay categories. Time-bound: if a delay is not resolved at one level within the SLA, it auto-escalates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2200"/>
        <w:gridCol w:w="2060"/>
      </w:tblGrid>
      <w:tr>
        <w:tc>
          <w:tcPr>
            <w:tcW w:type="dxa" w:w="11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Level</w:t>
            </w:r>
          </w:p>
        </w:tc>
        <w:tc>
          <w:tcPr>
            <w:tcW w:type="dxa" w:w="2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Resolution Owner</w:t>
            </w:r>
          </w:p>
        </w:tc>
        <w:tc>
          <w:tcPr>
            <w:tcW w:type="dxa" w:w="2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SLA at Level</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Trigger to Escalate</w:t>
            </w:r>
          </w:p>
        </w:tc>
        <w:tc>
          <w:tcPr>
            <w:tcW w:type="dxa" w:w="20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Decision Authority</w:t>
            </w:r>
          </w:p>
        </w:tc>
      </w:tr>
      <w:tr>
        <w:tc>
          <w:tcPr>
            <w:tcW w:type="dxa" w:w="11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L1</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Officer (SAQ / CME / Power)</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48 hours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Issue not resolved within 48h</w:t>
            </w:r>
          </w:p>
        </w:tc>
        <w:tc>
          <w:tcPr>
            <w:tcW w:type="dxa" w:w="20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Day-to-day operational fix</w:t>
            </w:r>
          </w:p>
        </w:tc>
      </w:tr>
      <w:tr>
        <w:tc>
          <w:tcPr>
            <w:tcW w:type="dxa" w:w="11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L2</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Function Lead (SAQ Lead, CME PM, Power Lead)</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3 working days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Cross-functional dependency or external blocker</w:t>
            </w:r>
          </w:p>
        </w:tc>
        <w:tc>
          <w:tcPr>
            <w:tcW w:type="dxa" w:w="20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Resource reallocation, vendor swap</w:t>
            </w:r>
          </w:p>
        </w:tc>
      </w:tr>
      <w:tr>
        <w:tc>
          <w:tcPr>
            <w:tcW w:type="dxa" w:w="11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L3</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Department Manager (SAQ Mgr, Design Mgr, CME Mgr, Power Mgr)</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 working days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Risk to 120-day SLA; requires Delay Extension Request consideration</w:t>
            </w:r>
          </w:p>
        </w:tc>
        <w:tc>
          <w:tcPr>
            <w:tcW w:type="dxa" w:w="20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Authorize Delay Ext Request; commercial deviation</w:t>
            </w:r>
          </w:p>
        </w:tc>
      </w:tr>
      <w:tr>
        <w:tc>
          <w:tcPr>
            <w:tcW w:type="dxa" w:w="11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L4</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Director (Engineering, BD, PMO, Finance)</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 working days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Cross-departmental risk, regulatory blocker, MNO escalation</w:t>
            </w:r>
          </w:p>
        </w:tc>
        <w:tc>
          <w:tcPr>
            <w:tcW w:type="dxa" w:w="20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CSR with MNO Senior; legal action initiation</w:t>
            </w:r>
          </w:p>
        </w:tc>
      </w:tr>
      <w:tr>
        <w:tc>
          <w:tcPr>
            <w:tcW w:type="dxa" w:w="1100"/>
            <w:tcBorders>
              <w:top w:val="single" w:color="B4C7E7" w:sz="4"/>
              <w:left w:val="single" w:color="B4C7E7" w:sz="4"/>
              <w:bottom w:val="single" w:color="B4C7E7" w:sz="4"/>
              <w:right w:val="single" w:color="B4C7E7" w:sz="4"/>
            </w:tcBorders>
            <w:shd w:fill="000000"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ManCom</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COO + CEO + ManCom</w:t>
            </w:r>
          </w:p>
        </w:tc>
        <w:tc>
          <w:tcPr>
            <w:tcW w:type="dxa" w:w="2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Weekly review</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Strategic risk; MNO relationship-level; major loss exposure</w:t>
            </w:r>
          </w:p>
        </w:tc>
        <w:tc>
          <w:tcPr>
            <w:tcW w:type="dxa" w:w="20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Policy override; ManCom decisions; Force Majeure invocation</w:t>
            </w:r>
          </w:p>
        </w:tc>
      </w:tr>
    </w:tbl>
    <w:p>
      <w:pPr>
        <w:pStyle w:val="Heading2"/>
        <w:spacing w:after="180" w:before="240"/>
      </w:pPr>
      <w:r>
        <w:rPr>
          <w:rFonts w:ascii="Arial" w:cs="Arial" w:eastAsia="Arial" w:hAnsi="Arial"/>
        </w:rPr>
        <w:t xml:space="preserve">6.2 Issue-Type to Escalation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c>
          <w:tcPr>
            <w:tcW w:type="dxa" w:w="27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Issue Category</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Entry Level</w:t>
            </w:r>
          </w:p>
        </w:tc>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Auto-escalate if</w:t>
            </w:r>
          </w:p>
        </w:tc>
        <w:tc>
          <w:tcPr>
            <w:tcW w:type="dxa" w:w="22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Typical Resolution Path</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SAQ — No candidate within SR</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L1 → L2 after 48h</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Day 7 of hunting</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PSH triggered; MNO meeting for SR extension</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TSSR rejected by MNO</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(SAQ Lead + Engineering)</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2nd rejection same site</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Design Mgr review of variance; redesign or PSH</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Lessor demand &gt;Sched 2 ceiling</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(SAQ Lead + BD)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&gt;10% above ceiling</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eLAS commercial deviation; site-walk-away analysis</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LGU permit stuck (no progress 7d)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(SAQ Lead)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14d no progress</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SAQ Mgr LGU engagement; L4 — Director liaison + RA 12234 citation</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LGU political blocker</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L3 (SAQ Mgr)</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Immediate</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L4 — Director + Government Relations; ManCom if persists</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Electric Coop refusing interconnection</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(Power Lead)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7d</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Power Mgr + Government Relations to NEA / ERC; cite RA 12234 §6(f)</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ROW dispute (private claim)</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(SAQ Lead)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Immediate if armed/blockade</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Legal team + SAQ Mgr; LGU mediation; possible re-survey</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Community resistance</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(SAQ Lead)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Petition / protest</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Social Acceptability rerun; PSH consideration</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CME — material delay &gt;7 days</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L2 (CME PM)</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&gt;10 days</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L3 — Vendor escalation + backup vendor activation</w:t>
            </w:r>
          </w:p>
        </w:tc>
      </w:tr>
      <w:tr>
        <w:tc>
          <w:tcPr>
            <w:tcW w:type="dxa" w:w="27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CME — safety incident (LTI)</w:t>
            </w:r>
          </w:p>
        </w:tc>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pPr>
              <w:jc w:val="center"/>
            </w:pPr>
            <w:r>
              <w:rPr>
                <w:rFonts w:ascii="Arial" w:cs="Arial" w:eastAsia="Arial" w:hAnsi="Arial"/>
                <w:color w:val="FFFFFF"/>
                <w:sz w:val="20"/>
                <w:szCs w:val="20"/>
              </w:rPr>
              <w:t xml:space="preserve">L4 (Director) — IMMEDIATE</w:t>
            </w:r>
          </w:p>
        </w:tc>
        <w:tc>
          <w:tcPr>
            <w:tcW w:type="dxa" w:w="22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Auto-ManCom for fatality</w:t>
            </w:r>
          </w:p>
        </w:tc>
        <w:tc>
          <w:tcPr>
            <w:tcW w:type="dxa" w:w="226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DOLE notification; root-cause; site-stop</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Civil Works Completed – No Power (&gt;30d)</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L3 (Power Mgr)</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&gt;45d</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L4 — Director + Government Relations; weekly ManCom report until cleared</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Force Majeure (typhoon, earthquake, civil unrest)</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L4 (Director) → ManCom</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Immediate</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Notice of Force Majeure to MNO within 5d (Cl. 27); resume tracker</w:t>
            </w:r>
          </w:p>
        </w:tc>
      </w:tr>
      <w:tr>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Pre-RFI MNO Disagreement Notice</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L3 (Engineering)</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Unresolved in 5d (Cl. 3.5(d))</w:t>
            </w:r>
          </w:p>
        </w:tc>
        <w:tc>
          <w:tcPr>
            <w:tcW w:type="dxa" w:w="22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L4 — Director-to-Director; Dispute under Cl. 20</w:t>
            </w:r>
          </w:p>
        </w:tc>
      </w:tr>
    </w:tbl>
    <w:p>
      <w:pPr>
        <w:pStyle w:val="Heading2"/>
        <w:spacing w:after="180" w:before="240"/>
      </w:pPr>
      <w:r>
        <w:rPr>
          <w:rFonts w:ascii="Arial" w:cs="Arial" w:eastAsia="Arial" w:hAnsi="Arial"/>
        </w:rPr>
        <w:t xml:space="preserve">6.3 Risk &amp; Issue Tracker — Template</w:t>
      </w:r>
    </w:p>
    <w:p>
      <w:pPr>
        <w:spacing w:after="80" w:before="0"/>
      </w:pPr>
      <w:r>
        <w:rPr>
          <w:rFonts w:ascii="Arial" w:cs="Arial" w:eastAsia="Arial" w:hAnsi="Arial"/>
          <w:i/>
          <w:iCs/>
        </w:rPr>
        <w:t xml:space="preserve">One row per active risk/issue. Closed items retained for 12 months for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Example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 (R-2026-####)</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Single or comma-separated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Category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 Permitting / CME / Power / Commercial / Safety / Regulatory / FM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Description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 — single sentence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Root Cause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 — to be filled at L2 review</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Date Raised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Raised By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 + role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Likelihood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Low / Medium / High / Certain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Impact on SLA</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0 days / 1–7 days / 8–14 days / 15+ days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Impact on Cost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exposure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Score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 × I (1–25)</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Current Escalation Level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L1 / L2 / L3 / L4 / ManCom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Current Owner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 + role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Next Action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What + by when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Next Action Due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Open / In Progress / Mitigated / Closed / Materialized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Delay Ext Request Filed?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(date) / NO / N/A</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Force Majeure Notice Filed?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(date) / NO / N/A</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Engaged?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YES (date, channel) / NO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Date Closed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Closure Notes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Free text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Lessons Learned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For monthly PMO retro</w:t>
            </w:r>
          </w:p>
        </w:tc>
      </w:tr>
    </w:tbl>
    <w:p>
      <w:pPr>
        <w:pStyle w:val="Heading2"/>
        <w:spacing w:after="180" w:before="240"/>
      </w:pPr>
      <w:r>
        <w:rPr>
          <w:rFonts w:ascii="Arial" w:cs="Arial" w:eastAsia="Arial" w:hAnsi="Arial"/>
        </w:rPr>
        <w:t xml:space="preserve">6.4 Notice of Delay / Force Majeure — Standard MNO Email Template</w:t>
      </w:r>
    </w:p>
    <w:p>
      <w:pPr>
        <w:spacing w:after="120" w:before="0"/>
      </w:pPr>
      <w:r>
        <w:rPr>
          <w:rFonts w:ascii="Arial" w:cs="Arial" w:eastAsia="Arial" w:hAnsi="Arial"/>
          <w:i/>
          <w:iCs/>
        </w:rPr>
        <w:t xml:space="preserve">Use the version appropriate to the situation. Send from the SAQ Manager or above; CC: PMO, MNO BD counterpart, MNO Engineering counterpart. Maintain a written paper trail for every notice — Force Majeure notices have a 5-day window from event onset per MLA Clause 27(c).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2E75B6" w:sz="4"/>
              <w:bottom w:val="single" w:color="2E75B6" w:sz="4"/>
              <w:right w:val="single" w:color="2E75B6" w:sz="4"/>
            </w:tcBorders>
            <w:shd w:fill="F2F2F2"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TEMPLATE A — Delay Extension Request (MLA Clause 3.1(c))</w:t>
            </w:r>
          </w:p>
          <w:p>
            <w:pPr>
              <w:spacing w:after="60"/>
            </w:pPr>
            <w:r>
              <w:rPr>
                <w:rFonts w:ascii="Arial" w:cs="Arial" w:eastAsia="Arial" w:hAnsi="Arial"/>
                <w:sz w:val="20"/>
                <w:szCs w:val="20"/>
              </w:rPr>
              <w:t xml:space="preserve">Subject: Delay Extension Request — [TCO Site ID] — [Site Name]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Dear [MNO Counterpart Name],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Pursuant to Clause 3.1(c) of our Master Lease Agreement, TowerCo hereby submits a formal Delay Extension Request for the above-referenced Site.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1. Site Details:</w:t>
            </w:r>
          </w:p>
          <w:p>
            <w:pPr>
              <w:spacing w:after="60"/>
            </w:pPr>
            <w:r>
              <w:rPr>
                <w:rFonts w:ascii="Arial" w:cs="Arial" w:eastAsia="Arial" w:hAnsi="Arial"/>
                <w:sz w:val="20"/>
                <w:szCs w:val="20"/>
              </w:rPr>
              <w:t xml:space="preserve">   • TCO Site ID: [###]</w:t>
            </w:r>
          </w:p>
          <w:p>
            <w:pPr>
              <w:spacing w:after="60"/>
            </w:pPr>
            <w:r>
              <w:rPr>
                <w:rFonts w:ascii="Arial" w:cs="Arial" w:eastAsia="Arial" w:hAnsi="Arial"/>
                <w:sz w:val="20"/>
                <w:szCs w:val="20"/>
              </w:rPr>
              <w:t xml:space="preserve">   • Site Name: [Full name]</w:t>
            </w:r>
          </w:p>
          <w:p>
            <w:pPr>
              <w:spacing w:after="60"/>
            </w:pPr>
            <w:r>
              <w:rPr>
                <w:rFonts w:ascii="Arial" w:cs="Arial" w:eastAsia="Arial" w:hAnsi="Arial"/>
                <w:sz w:val="20"/>
                <w:szCs w:val="20"/>
              </w:rPr>
              <w:t xml:space="preserve">   • Project Type: [BTS / Colocation / RTB]</w:t>
            </w:r>
          </w:p>
          <w:p>
            <w:pPr>
              <w:spacing w:after="60"/>
            </w:pPr>
            <w:r>
              <w:rPr>
                <w:rFonts w:ascii="Arial" w:cs="Arial" w:eastAsia="Arial" w:hAnsi="Arial"/>
                <w:sz w:val="20"/>
                <w:szCs w:val="20"/>
              </w:rPr>
              <w:t xml:space="preserve">   • TSSR Approved Date (Day 1): [Date]</w:t>
            </w:r>
          </w:p>
          <w:p>
            <w:pPr>
              <w:spacing w:after="60"/>
            </w:pPr>
            <w:r>
              <w:rPr>
                <w:rFonts w:ascii="Arial" w:cs="Arial" w:eastAsia="Arial" w:hAnsi="Arial"/>
                <w:sz w:val="20"/>
                <w:szCs w:val="20"/>
              </w:rPr>
              <w:t xml:space="preserve">   • Current Target RFI Date: [Date]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2. Nature of Delay:</w:t>
            </w:r>
          </w:p>
          <w:p>
            <w:pPr>
              <w:spacing w:after="60"/>
            </w:pPr>
            <w:r>
              <w:rPr>
                <w:rFonts w:ascii="Arial" w:cs="Arial" w:eastAsia="Arial" w:hAnsi="Arial"/>
                <w:sz w:val="20"/>
                <w:szCs w:val="20"/>
              </w:rPr>
              <w:t xml:space="preserve">   [Describe — e.g., "Genuine and unavoidable delay in obtaining the LGU Building Permit due to LGU Engineering Office reorganization beginning DD-MMM-YYYY..."]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3. Cause Classification (per Clause 3.1(c)):</w:t>
            </w:r>
          </w:p>
          <w:p>
            <w:pPr>
              <w:spacing w:after="60"/>
            </w:pPr>
            <w:r>
              <w:rPr>
                <w:rFonts w:ascii="Arial" w:cs="Arial" w:eastAsia="Arial" w:hAnsi="Arial"/>
                <w:sz w:val="20"/>
                <w:szCs w:val="20"/>
              </w:rPr>
              <w:t xml:space="preserve">   [ ] (i) Delay in obtaining Required Consent</w:t>
            </w:r>
          </w:p>
          <w:p>
            <w:pPr>
              <w:spacing w:after="60"/>
            </w:pPr>
            <w:r>
              <w:rPr>
                <w:rFonts w:ascii="Arial" w:cs="Arial" w:eastAsia="Arial" w:hAnsi="Arial"/>
                <w:sz w:val="20"/>
                <w:szCs w:val="20"/>
              </w:rPr>
              <w:t xml:space="preserve">   [ ] (ii)(1) Bad weather</w:t>
            </w:r>
          </w:p>
          <w:p>
            <w:pPr>
              <w:spacing w:after="60"/>
            </w:pPr>
            <w:r>
              <w:rPr>
                <w:rFonts w:ascii="Arial" w:cs="Arial" w:eastAsia="Arial" w:hAnsi="Arial"/>
                <w:sz w:val="20"/>
                <w:szCs w:val="20"/>
              </w:rPr>
              <w:t xml:space="preserve">   [ ] (ii)(2) Public or festive holidays</w:t>
            </w:r>
          </w:p>
          <w:p>
            <w:pPr>
              <w:spacing w:after="60"/>
            </w:pPr>
            <w:r>
              <w:rPr>
                <w:rFonts w:ascii="Arial" w:cs="Arial" w:eastAsia="Arial" w:hAnsi="Arial"/>
                <w:sz w:val="20"/>
                <w:szCs w:val="20"/>
              </w:rPr>
              <w:t xml:space="preserve">   [ ] (ii)(3) Geological conditions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4. Supporting Documentation (attached):</w:t>
            </w:r>
          </w:p>
          <w:p>
            <w:pPr>
              <w:spacing w:after="60"/>
            </w:pPr>
            <w:r>
              <w:rPr>
                <w:rFonts w:ascii="Arial" w:cs="Arial" w:eastAsia="Arial" w:hAnsi="Arial"/>
                <w:sz w:val="20"/>
                <w:szCs w:val="20"/>
              </w:rPr>
              <w:t xml:space="preserve">   • [LGU letter / PAGASA bulletin / SBT report / etc.]</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5. Requested Delay Extension Period: [N] calendar days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6. Revised Target RFI Date: [New date]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Per Clause 3.1(c)(b), kindly approve or commence good-faith discussion within five (5) Working Days of receipt of this notice. Absent such response, the Delay Extension Period shall be excluded from the Delivery Period.</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We remain committed to delivering this Site at the earliest opportunity.</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Sincerely,</w:t>
            </w:r>
          </w:p>
          <w:p>
            <w:pPr>
              <w:spacing w:after="60"/>
            </w:pPr>
            <w:r>
              <w:rPr>
                <w:rFonts w:ascii="Arial" w:cs="Arial" w:eastAsia="Arial" w:hAnsi="Arial"/>
                <w:sz w:val="20"/>
                <w:szCs w:val="20"/>
              </w:rPr>
              <w:t xml:space="preserve">[Name], SAQ Manager (or above)</w:t>
            </w:r>
          </w:p>
          <w:p>
            <w:pPr>
              <w:spacing w:after="60"/>
            </w:pPr>
            <w:r>
              <w:rPr>
                <w:rFonts w:ascii="Arial" w:cs="Arial" w:eastAsia="Arial" w:hAnsi="Arial"/>
                <w:sz w:val="20"/>
                <w:szCs w:val="20"/>
              </w:rPr>
              <w:t xml:space="preserve">TowerCo</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8"/>
              <w:left w:val="single" w:color="C00000" w:sz="4"/>
              <w:bottom w:val="single" w:color="C00000" w:sz="4"/>
              <w:right w:val="single" w:color="C00000" w:sz="4"/>
            </w:tcBorders>
            <w:shd w:fill="F2F2F2" w:val="clear"/>
            <w:tcMar>
              <w:top w:type="dxa" w:w="160"/>
              <w:left w:type="dxa" w:w="200"/>
              <w:bottom w:type="dxa" w:w="160"/>
              <w:right w:type="dxa" w:w="200"/>
            </w:tcMar>
          </w:tcPr>
          <w:p>
            <w:pPr>
              <w:spacing w:after="80"/>
            </w:pPr>
            <w:r>
              <w:rPr>
                <w:rFonts w:ascii="Arial" w:cs="Arial" w:eastAsia="Arial" w:hAnsi="Arial"/>
                <w:b/>
                <w:bCs/>
                <w:color w:val="C00000"/>
                <w:sz w:val="22"/>
                <w:szCs w:val="22"/>
              </w:rPr>
              <w:t xml:space="preserve">TEMPLATE B — Force Majeure Notice (MLA Clause 27)</w:t>
            </w:r>
          </w:p>
          <w:p>
            <w:pPr>
              <w:spacing w:after="60"/>
            </w:pPr>
            <w:r>
              <w:rPr>
                <w:rFonts w:ascii="Arial" w:cs="Arial" w:eastAsia="Arial" w:hAnsi="Arial"/>
                <w:sz w:val="20"/>
                <w:szCs w:val="20"/>
              </w:rPr>
              <w:t xml:space="preserve">Subject: Notice of Force Majeure Event — [TCO Site ID(s) / Region]</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Dear [MNO Counterpart Name],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This serves as formal notice under Clause 27 of our Master Lease Agreement of a Force Majeure Event affecting the performance of TowerCo's obligations.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1. Force Majeure Event:</w:t>
            </w:r>
          </w:p>
          <w:p>
            <w:pPr>
              <w:spacing w:after="60"/>
            </w:pPr>
            <w:r>
              <w:rPr>
                <w:rFonts w:ascii="Arial" w:cs="Arial" w:eastAsia="Arial" w:hAnsi="Arial"/>
                <w:sz w:val="20"/>
                <w:szCs w:val="20"/>
              </w:rPr>
              <w:t xml:space="preserve">   Type: [Typhoon / Earthquake / Flood / Civil Unrest / Pandemic / Other]</w:t>
            </w:r>
          </w:p>
          <w:p>
            <w:pPr>
              <w:spacing w:after="60"/>
            </w:pPr>
            <w:r>
              <w:rPr>
                <w:rFonts w:ascii="Arial" w:cs="Arial" w:eastAsia="Arial" w:hAnsi="Arial"/>
                <w:sz w:val="20"/>
                <w:szCs w:val="20"/>
              </w:rPr>
              <w:t xml:space="preserve">   Onset Date/Time: [DD-MMM-YYYY HH:MM]</w:t>
            </w:r>
          </w:p>
          <w:p>
            <w:pPr>
              <w:spacing w:after="60"/>
            </w:pPr>
            <w:r>
              <w:rPr>
                <w:rFonts w:ascii="Arial" w:cs="Arial" w:eastAsia="Arial" w:hAnsi="Arial"/>
                <w:sz w:val="20"/>
                <w:szCs w:val="20"/>
              </w:rPr>
              <w:t xml:space="preserve">   Reference: [PAGASA Bulletin / PHIVOLCS / Government Declaration]</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2. Affected Sites:</w:t>
            </w:r>
          </w:p>
          <w:p>
            <w:pPr>
              <w:spacing w:after="60"/>
            </w:pPr>
            <w:r>
              <w:rPr>
                <w:rFonts w:ascii="Arial" w:cs="Arial" w:eastAsia="Arial" w:hAnsi="Arial"/>
                <w:sz w:val="20"/>
                <w:szCs w:val="20"/>
              </w:rPr>
              <w:t xml:space="preserve">   • [List TCO Site IDs and Names]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3. Nature of Impact:</w:t>
            </w:r>
          </w:p>
          <w:p>
            <w:pPr>
              <w:spacing w:after="60"/>
            </w:pPr>
            <w:r>
              <w:rPr>
                <w:rFonts w:ascii="Arial" w:cs="Arial" w:eastAsia="Arial" w:hAnsi="Arial"/>
                <w:sz w:val="20"/>
                <w:szCs w:val="20"/>
              </w:rPr>
              <w:t xml:space="preserve">   [Describe — e.g., "Tower erection mobilization at the listed sites has been suspended due to PAGASA Tropical Cyclone Signal #3 covering the entire NCR and Calabarzon regions..."]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4. Mitigation Measures Taken:</w:t>
            </w:r>
          </w:p>
          <w:p>
            <w:pPr>
              <w:spacing w:after="60"/>
            </w:pPr>
            <w:r>
              <w:rPr>
                <w:rFonts w:ascii="Arial" w:cs="Arial" w:eastAsia="Arial" w:hAnsi="Arial"/>
                <w:sz w:val="20"/>
                <w:szCs w:val="20"/>
              </w:rPr>
              <w:t xml:space="preserve">   • [Demobilization, securing of materials, worker safety, etc.]</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5. Estimated Recovery Time / Resumption Date:</w:t>
            </w:r>
          </w:p>
          <w:p>
            <w:pPr>
              <w:spacing w:after="60"/>
            </w:pPr>
            <w:r>
              <w:rPr>
                <w:rFonts w:ascii="Arial" w:cs="Arial" w:eastAsia="Arial" w:hAnsi="Arial"/>
                <w:sz w:val="20"/>
                <w:szCs w:val="20"/>
              </w:rPr>
              <w:t xml:space="preserve">   [Date or "To be confirmed when conditions allow resumption"]</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Per Clause 27, the time for performance is extended by the duration of the Force Majeure Event. TowerCo will provide updates as the situation develops and will resume affected obligations as soon as reasonably practicable.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Sincerely,</w:t>
            </w:r>
          </w:p>
          <w:p>
            <w:pPr>
              <w:spacing w:after="60"/>
            </w:pPr>
            <w:r>
              <w:rPr>
                <w:rFonts w:ascii="Arial" w:cs="Arial" w:eastAsia="Arial" w:hAnsi="Arial"/>
                <w:sz w:val="20"/>
                <w:szCs w:val="20"/>
              </w:rPr>
              <w:t xml:space="preserve">[Name], [Title]</w:t>
            </w:r>
          </w:p>
          <w:p>
            <w:pPr>
              <w:spacing w:after="60"/>
            </w:pPr>
            <w:r>
              <w:rPr>
                <w:rFonts w:ascii="Arial" w:cs="Arial" w:eastAsia="Arial" w:hAnsi="Arial"/>
                <w:sz w:val="20"/>
                <w:szCs w:val="20"/>
              </w:rPr>
              <w:t xml:space="preserve">TowerCo</w:t>
            </w:r>
          </w:p>
        </w:tc>
      </w:tr>
    </w:tbl>
    <w:p>
      <w:pPr>
        <w:pStyle w:val="Heading1"/>
        <w:pageBreakBefore/>
        <w:spacing w:after="240" w:before="240"/>
      </w:pPr>
      <w:r>
        <w:rPr>
          <w:rFonts w:ascii="Arial" w:cs="Arial" w:eastAsia="Arial" w:hAnsi="Arial"/>
        </w:rPr>
        <w:t xml:space="preserve">7. Business Development — Account Management</w:t>
      </w:r>
    </w:p>
    <w:p>
      <w:pPr>
        <w:pStyle w:val="Heading2"/>
        <w:spacing w:after="180" w:before="240"/>
      </w:pPr>
      <w:r>
        <w:rPr>
          <w:rFonts w:ascii="Arial" w:cs="Arial" w:eastAsia="Arial" w:hAnsi="Arial"/>
        </w:rPr>
        <w:t xml:space="preserve">7.1 Scope &amp; Mandate</w:t>
      </w:r>
    </w:p>
    <w:p>
      <w:pPr>
        <w:spacing w:after="120" w:before="0"/>
      </w:pPr>
      <w:r>
        <w:rPr>
          <w:rFonts w:ascii="Arial" w:cs="Arial" w:eastAsia="Arial" w:hAnsi="Arial"/>
        </w:rPr>
        <w:t xml:space="preserve">BD owns the commercial relationship with each MNO, manages the table-top assessment process for new search rings, makes the win/no-win decision on Hard-to-Acquire (HTA) sites, and authorizes pre-award investment. BD's job is not to win every search ring — it is to win the right search rings profitably and protect TowerCo's capacity for sites it can actually deliver in 120 days. The 74% / 96% / 45% Globe Award Success Rates (Alliance vs. Alliance-SBA, MACRO vs. Small Cell) indicate where this discipline matters most.</w:t>
      </w:r>
    </w:p>
    <w:p>
      <w:pPr>
        <w:pStyle w:val="Heading2"/>
        <w:spacing w:after="180" w:before="240"/>
      </w:pPr>
      <w:r>
        <w:rPr>
          <w:rFonts w:ascii="Arial" w:cs="Arial" w:eastAsia="Arial" w:hAnsi="Arial"/>
        </w:rPr>
        <w:t xml:space="preserve">7.2 Hard-to-Acquire (HTA) Site Strategy</w:t>
      </w:r>
    </w:p>
    <w:p>
      <w:pPr>
        <w:spacing w:after="120" w:before="0"/>
      </w:pPr>
      <w:r>
        <w:rPr>
          <w:rFonts w:ascii="Arial" w:cs="Arial" w:eastAsia="Arial" w:hAnsi="Arial"/>
        </w:rPr>
        <w:t xml:space="preserve">HTA sites are those where conventional site acquisition is impractical due to property scarcity, regulatory complexity, or location-specific constraints (typically dense urban CBDs, transport corridors, government compounds, heritage zones, BCDA areas, or critical coverage holes).</w:t>
      </w:r>
    </w:p>
    <w:p>
      <w:pPr>
        <w:pStyle w:val="Heading3"/>
        <w:spacing w:after="120" w:before="180"/>
      </w:pPr>
      <w:r>
        <w:rPr>
          <w:rFonts w:ascii="Arial" w:cs="Arial" w:eastAsia="Arial" w:hAnsi="Arial"/>
        </w:rPr>
        <w:t xml:space="preserve">HTA Identification Triggers</w:t>
      </w:r>
    </w:p>
    <w:p>
      <w:pPr>
        <w:pStyle w:val="ListParagraph"/>
        <w:numPr>
          <w:ilvl w:val="0"/>
          <w:numId w:val="2"/>
        </w:numPr>
        <w:spacing w:after="60"/>
      </w:pPr>
      <w:r>
        <w:rPr>
          <w:rFonts w:ascii="Arial" w:cs="Arial" w:eastAsia="Arial" w:hAnsi="Arial"/>
          <w:sz w:val="22"/>
          <w:szCs w:val="22"/>
        </w:rPr>
        <w:t xml:space="preserve">Search Ring overlaps with NCR CBD (Makati / BGC / Ortigas / Eastwood / Pasay airport zone).</w:t>
      </w:r>
    </w:p>
    <w:p>
      <w:pPr>
        <w:pStyle w:val="ListParagraph"/>
        <w:numPr>
          <w:ilvl w:val="0"/>
          <w:numId w:val="2"/>
        </w:numPr>
        <w:spacing w:after="60"/>
      </w:pPr>
      <w:r>
        <w:rPr>
          <w:rFonts w:ascii="Arial" w:cs="Arial" w:eastAsia="Arial" w:hAnsi="Arial"/>
          <w:sz w:val="22"/>
          <w:szCs w:val="22"/>
        </w:rPr>
        <w:t xml:space="preserve">Search Ring inside subdivision or master-planned community with restrictive HOAs.</w:t>
      </w:r>
    </w:p>
    <w:p>
      <w:pPr>
        <w:pStyle w:val="ListParagraph"/>
        <w:numPr>
          <w:ilvl w:val="0"/>
          <w:numId w:val="2"/>
        </w:numPr>
        <w:spacing w:after="60"/>
      </w:pPr>
      <w:r>
        <w:rPr>
          <w:rFonts w:ascii="Arial" w:cs="Arial" w:eastAsia="Arial" w:hAnsi="Arial"/>
          <w:sz w:val="22"/>
          <w:szCs w:val="22"/>
        </w:rPr>
        <w:t xml:space="preserve">Search Ring inside BCDA / SBMA / CDC / heritage / NCIP territory.</w:t>
      </w:r>
    </w:p>
    <w:p>
      <w:pPr>
        <w:pStyle w:val="ListParagraph"/>
        <w:numPr>
          <w:ilvl w:val="0"/>
          <w:numId w:val="2"/>
        </w:numPr>
        <w:spacing w:after="60"/>
      </w:pPr>
      <w:r>
        <w:rPr>
          <w:rFonts w:ascii="Arial" w:cs="Arial" w:eastAsia="Arial" w:hAnsi="Arial"/>
          <w:sz w:val="22"/>
          <w:szCs w:val="22"/>
        </w:rPr>
        <w:t xml:space="preserve">Search Ring entirely within government land (DPWH, DENR, AFP, school).</w:t>
      </w:r>
    </w:p>
    <w:p>
      <w:pPr>
        <w:pStyle w:val="ListParagraph"/>
        <w:numPr>
          <w:ilvl w:val="0"/>
          <w:numId w:val="2"/>
        </w:numPr>
        <w:spacing w:after="60"/>
      </w:pPr>
      <w:r>
        <w:rPr>
          <w:rFonts w:ascii="Arial" w:cs="Arial" w:eastAsia="Arial" w:hAnsi="Arial"/>
          <w:sz w:val="22"/>
          <w:szCs w:val="22"/>
        </w:rPr>
        <w:t xml:space="preserve">Search Ring on transport corridor (SLEX / NLEX / Skyway columns / MRT stations).</w:t>
      </w:r>
    </w:p>
    <w:p>
      <w:pPr>
        <w:pStyle w:val="ListParagraph"/>
        <w:numPr>
          <w:ilvl w:val="0"/>
          <w:numId w:val="2"/>
        </w:numPr>
        <w:spacing w:after="60"/>
      </w:pPr>
      <w:r>
        <w:rPr>
          <w:rFonts w:ascii="Arial" w:cs="Arial" w:eastAsia="Arial" w:hAnsi="Arial"/>
          <w:sz w:val="22"/>
          <w:szCs w:val="22"/>
        </w:rPr>
        <w:t xml:space="preserve">Prior failed campaigns on similar SR profile.</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HTA Playbook</w:t>
      </w:r>
    </w:p>
    <w:p>
      <w:pPr>
        <w:pStyle w:val="ListParagraph"/>
        <w:numPr>
          <w:ilvl w:val="0"/>
          <w:numId w:val="3"/>
        </w:numPr>
        <w:spacing w:after="60"/>
      </w:pPr>
      <w:r>
        <w:rPr>
          <w:rFonts w:ascii="Arial" w:cs="Arial" w:eastAsia="Arial" w:hAnsi="Arial"/>
          <w:sz w:val="22"/>
          <w:szCs w:val="22"/>
        </w:rPr>
        <w:t xml:space="preserve">Pre-commit Targeted Site List: TowerCo maintains a Pre-Identified HTA Site Inventory — pre-negotiated MOUs/Letters of Intent with strategic landlords (DPWH, MMDA, government agencies, school divisions, hospitals, churches, large institutional landowners, BCDA, malls, transport authorities). When an HTA SR comes in, attempt to match an inventory site BEFORE field hunting.</w:t>
      </w:r>
    </w:p>
    <w:p>
      <w:pPr>
        <w:pStyle w:val="ListParagraph"/>
        <w:numPr>
          <w:ilvl w:val="0"/>
          <w:numId w:val="3"/>
        </w:numPr>
        <w:spacing w:after="60"/>
      </w:pPr>
      <w:r>
        <w:rPr>
          <w:rFonts w:ascii="Arial" w:cs="Arial" w:eastAsia="Arial" w:hAnsi="Arial"/>
          <w:sz w:val="22"/>
          <w:szCs w:val="22"/>
        </w:rPr>
        <w:t xml:space="preserve">Government Site Partnership: Master agreements with DPWH (highway ROW), MMDA (outdoor colocs), DOTr (LRT/MRT), DepEd (school grounds). The NS-NTG20-AD01 MMDA_OutdoorColoc in your Q1 2026 pipeline is the model.</w:t>
      </w:r>
    </w:p>
    <w:p>
      <w:pPr>
        <w:pStyle w:val="ListParagraph"/>
        <w:numPr>
          <w:ilvl w:val="0"/>
          <w:numId w:val="3"/>
        </w:numPr>
        <w:spacing w:after="60"/>
      </w:pPr>
      <w:r>
        <w:rPr>
          <w:rFonts w:ascii="Arial" w:cs="Arial" w:eastAsia="Arial" w:hAnsi="Arial"/>
          <w:sz w:val="22"/>
          <w:szCs w:val="22"/>
        </w:rPr>
        <w:t xml:space="preserve">Rooftop Coverage Strategy: For dense urban, prioritize rooftop colocations. Partner with mall chains (SM, Robinsons, Ayala Land), condominium developers, hotels, and school buildings.</w:t>
      </w:r>
    </w:p>
    <w:p>
      <w:pPr>
        <w:pStyle w:val="ListParagraph"/>
        <w:numPr>
          <w:ilvl w:val="0"/>
          <w:numId w:val="3"/>
        </w:numPr>
        <w:spacing w:after="60"/>
      </w:pPr>
      <w:r>
        <w:rPr>
          <w:rFonts w:ascii="Arial" w:cs="Arial" w:eastAsia="Arial" w:hAnsi="Arial"/>
          <w:sz w:val="22"/>
          <w:szCs w:val="22"/>
        </w:rPr>
        <w:t xml:space="preserve">Multi-Carrier Pre-Pitch: For HTA sites, market to multiple MNOs simultaneously — sites with 2+ tenant commitments justify higher pre-award spend and have better IRR.</w:t>
      </w:r>
    </w:p>
    <w:p>
      <w:pPr>
        <w:pStyle w:val="ListParagraph"/>
        <w:numPr>
          <w:ilvl w:val="0"/>
          <w:numId w:val="3"/>
        </w:numPr>
        <w:spacing w:after="60"/>
      </w:pPr>
      <w:r>
        <w:rPr>
          <w:rFonts w:ascii="Arial" w:cs="Arial" w:eastAsia="Arial" w:hAnsi="Arial"/>
          <w:sz w:val="22"/>
          <w:szCs w:val="22"/>
        </w:rPr>
        <w:t xml:space="preserve">Senior Government Relations Engagement: SAQ Director + GR Lead engages LGU mayor/governor offices for political-blocker areas BEFORE site hunting begins.</w:t>
      </w:r>
    </w:p>
    <w:p>
      <w:pPr>
        <w:pStyle w:val="ListParagraph"/>
        <w:numPr>
          <w:ilvl w:val="0"/>
          <w:numId w:val="3"/>
        </w:numPr>
        <w:spacing w:after="60"/>
      </w:pPr>
      <w:r>
        <w:rPr>
          <w:rFonts w:ascii="Arial" w:cs="Arial" w:eastAsia="Arial" w:hAnsi="Arial"/>
          <w:sz w:val="22"/>
          <w:szCs w:val="22"/>
        </w:rPr>
        <w:t xml:space="preserve">Local SAQ Vendor Empowerment: For provincial HTA, use embedded local SAQ vendors with longstanding LGU and lessor relationships — pay premium for specialized regional knowledge.</w:t>
      </w:r>
    </w:p>
    <w:p>
      <w:pPr>
        <w:pStyle w:val="ListParagraph"/>
        <w:numPr>
          <w:ilvl w:val="0"/>
          <w:numId w:val="3"/>
        </w:numPr>
        <w:spacing w:after="60"/>
      </w:pPr>
      <w:r>
        <w:rPr>
          <w:rFonts w:ascii="Arial" w:cs="Arial" w:eastAsia="Arial" w:hAnsi="Arial"/>
          <w:sz w:val="22"/>
          <w:szCs w:val="22"/>
        </w:rPr>
        <w:t xml:space="preserve">Escalate Early: HTA sites have a 14-day hard hunting window (vs. 7-day standard). If not viable by Day 14, immediate PSH conference with MNO, not Day 30.</w:t>
      </w:r>
    </w:p>
    <w:p>
      <w:pPr>
        <w:pStyle w:val="Heading2"/>
        <w:spacing w:after="180" w:before="240"/>
      </w:pPr>
      <w:r>
        <w:rPr>
          <w:rFonts w:ascii="Arial" w:cs="Arial" w:eastAsia="Arial" w:hAnsi="Arial"/>
        </w:rPr>
        <w:t xml:space="preserve">7.3 Table-Top Assessment Scorecard</w:t>
      </w:r>
    </w:p>
    <w:p>
      <w:pPr>
        <w:spacing w:after="80" w:before="0"/>
      </w:pPr>
      <w:r>
        <w:rPr>
          <w:rFonts w:ascii="Arial" w:cs="Arial" w:eastAsia="Arial" w:hAnsi="Arial"/>
          <w:i/>
          <w:iCs/>
        </w:rPr>
        <w:t xml:space="preserve">Used at the pre-bid stage when MNOs share new Search Ring lists and TowerCo decides whether to bid (and at what price). Score each SR 1–5 across the dimensions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3000"/>
        <w:gridCol w:w="3460"/>
      </w:tblGrid>
      <w:tr>
        <w:tc>
          <w:tcPr>
            <w:tcW w:type="dxa" w:w="21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Dimension</w:t>
            </w:r>
          </w:p>
        </w:tc>
        <w:tc>
          <w:tcPr>
            <w:tcW w:type="dxa" w:w="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Weight</w:t>
            </w:r>
          </w:p>
        </w:tc>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Scoring Anchors (1–5)</w:t>
            </w:r>
          </w:p>
        </w:tc>
        <w:tc>
          <w:tcPr>
            <w:tcW w:type="dxa" w:w="3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Data Source / Owner</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Land Availability</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15%</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abundant viable lots; 1 = no obvious candidates</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desktop scan; satellite imagery</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Existing TowerCo Asset Proximity</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colocation candidate exists; 1 = no nearby asset</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Asset Register / GIS — PMO</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LGU Receptiveness</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15%</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recent permits in &lt;14d; 1 = political resistance documented</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LGU Permit Database; Govt Relations</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Commercial Power Maturity</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MERALCO urban; 1 = remote coop with chronic ROW issues</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Power Mgr; utility map overlay</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Terrain &amp; Accessibility</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paved road, flat; 1 = boat access + mountain</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field intel; topo maps</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Peace &amp; Order Risk</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stable; 1 = active conflict zone</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AFP/PNP advisories; AFP Areas of Operation map</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Hazard Exposure</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low typhoon/flood/seismic; 1 = high all</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Project NOAH; PHIVOLCS</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Historic Build SLA in Area</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past sites &lt;120d; 1 = past sites &gt;500d</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Master Site Tracker; PMO</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MNO Pre-Approval Signals</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10%</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MNO has marked site "Strategic"; 1 = no signal</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BD-MNO BD intel</w:t>
            </w:r>
          </w:p>
        </w:tc>
      </w:tr>
      <w:tr>
        <w:tc>
          <w:tcPr>
            <w:tcW w:type="dxa" w:w="21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Multi-Tenancy Potential</w:t>
            </w:r>
          </w:p>
        </w:tc>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w:t>
            </w:r>
          </w:p>
        </w:tc>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5 = 2+ MNO interest confirmed; 1 = single tenant only</w:t>
            </w:r>
          </w:p>
        </w:tc>
        <w:tc>
          <w:tcPr>
            <w:tcW w:type="dxa" w:w="3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BD across MNOs</w:t>
            </w:r>
          </w:p>
        </w:tc>
      </w:tr>
      <w:tr>
        <w:tc>
          <w:tcPr>
            <w:tcW w:type="dxa" w:w="21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WEIGHTED TOTAL</w:t>
            </w:r>
          </w:p>
        </w:tc>
        <w:tc>
          <w:tcPr>
            <w:tcW w:type="dxa" w:w="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100%</w:t>
            </w:r>
          </w:p>
        </w:tc>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Sum of (Weight × Score)</w:t>
            </w:r>
          </w:p>
        </w:tc>
        <w:tc>
          <w:tcPr>
            <w:tcW w:type="dxa" w:w="3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1.0–5.0 scale</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Score Interpretation</w:t>
      </w:r>
    </w:p>
    <w:p>
      <w:pPr>
        <w:pStyle w:val="ListParagraph"/>
        <w:numPr>
          <w:ilvl w:val="0"/>
          <w:numId w:val="2"/>
        </w:numPr>
        <w:spacing w:after="60"/>
      </w:pPr>
      <w:r>
        <w:rPr>
          <w:rFonts w:ascii="Arial" w:cs="Arial" w:eastAsia="Arial" w:hAnsi="Arial"/>
          <w:sz w:val="22"/>
          <w:szCs w:val="22"/>
        </w:rPr>
        <w:t xml:space="preserve">4.0 – 5.0: Tier 1 (Green) — Aggressive bid; pre-award spend up to Building Permit authorized.</w:t>
      </w:r>
    </w:p>
    <w:p>
      <w:pPr>
        <w:pStyle w:val="ListParagraph"/>
        <w:numPr>
          <w:ilvl w:val="0"/>
          <w:numId w:val="2"/>
        </w:numPr>
        <w:spacing w:after="60"/>
      </w:pPr>
      <w:r>
        <w:rPr>
          <w:rFonts w:ascii="Arial" w:cs="Arial" w:eastAsia="Arial" w:hAnsi="Arial"/>
          <w:sz w:val="22"/>
          <w:szCs w:val="22"/>
        </w:rPr>
        <w:t xml:space="preserve">3.0 – 3.9: Tier 2 (Amber) — Standard bid; pre-award spend up to MOC only.</w:t>
      </w:r>
    </w:p>
    <w:p>
      <w:pPr>
        <w:pStyle w:val="ListParagraph"/>
        <w:numPr>
          <w:ilvl w:val="0"/>
          <w:numId w:val="2"/>
        </w:numPr>
        <w:spacing w:after="60"/>
      </w:pPr>
      <w:r>
        <w:rPr>
          <w:rFonts w:ascii="Arial" w:cs="Arial" w:eastAsia="Arial" w:hAnsi="Arial"/>
          <w:sz w:val="22"/>
          <w:szCs w:val="22"/>
        </w:rPr>
        <w:t xml:space="preserve">2.0 – 2.9: Tier 3 (Red) — Cautious bid OR conditional on MNO concessions (extended SLA, premium rate, exclusivity).</w:t>
      </w:r>
    </w:p>
    <w:p>
      <w:pPr>
        <w:pStyle w:val="ListParagraph"/>
        <w:numPr>
          <w:ilvl w:val="0"/>
          <w:numId w:val="2"/>
        </w:numPr>
        <w:spacing w:after="60"/>
      </w:pPr>
      <w:r>
        <w:rPr>
          <w:rFonts w:ascii="Arial" w:cs="Arial" w:eastAsia="Arial" w:hAnsi="Arial"/>
          <w:sz w:val="22"/>
          <w:szCs w:val="22"/>
        </w:rPr>
        <w:t xml:space="preserve">&lt; 2.0: No-Bid — Recommend MNO redraw SR or remove from campaign.</w:t>
      </w:r>
    </w:p>
    <w:p>
      <w:pPr>
        <w:pStyle w:val="Heading2"/>
        <w:spacing w:after="180" w:before="240"/>
      </w:pPr>
      <w:r>
        <w:rPr>
          <w:rFonts w:ascii="Arial" w:cs="Arial" w:eastAsia="Arial" w:hAnsi="Arial"/>
        </w:rPr>
        <w:t xml:space="preserve">7.4 Pre-Award Investment Policy</w:t>
      </w:r>
    </w:p>
    <w:p>
      <w:pPr>
        <w:spacing w:after="120" w:before="0"/>
      </w:pPr>
      <w:r>
        <w:rPr>
          <w:rFonts w:ascii="Arial" w:cs="Arial" w:eastAsia="Arial" w:hAnsi="Arial"/>
        </w:rPr>
        <w:t xml:space="preserve">Pre-award spending is any TowerCo investment in a site BEFORE the MNO has issued an Endorsement Letter (or before TSSR approval, depending on context). It is high-risk because if the MNO walks away, the cost is largely unrecoverable. This policy sets the boundaries.</w:t>
      </w:r>
    </w:p>
    <w:p>
      <w:pPr>
        <w:pStyle w:val="Heading3"/>
        <w:spacing w:after="120" w:before="180"/>
      </w:pPr>
      <w:r>
        <w:rPr>
          <w:rFonts w:ascii="Arial" w:cs="Arial" w:eastAsia="Arial" w:hAnsi="Arial"/>
        </w:rPr>
        <w:t xml:space="preserve">Guiding Principles</w:t>
      </w:r>
    </w:p>
    <w:p>
      <w:pPr>
        <w:pStyle w:val="ListParagraph"/>
        <w:numPr>
          <w:ilvl w:val="0"/>
          <w:numId w:val="2"/>
        </w:numPr>
        <w:spacing w:after="60"/>
      </w:pPr>
      <w:r>
        <w:rPr>
          <w:rFonts w:ascii="Arial" w:cs="Arial" w:eastAsia="Arial" w:hAnsi="Arial"/>
          <w:sz w:val="22"/>
          <w:szCs w:val="22"/>
        </w:rPr>
        <w:t xml:space="preserve">Pre-award spend is the EXCEPTION, not standard practice. The default position is: no spend until Endorsement Letter + TSSR Approval.</w:t>
      </w:r>
    </w:p>
    <w:p>
      <w:pPr>
        <w:pStyle w:val="ListParagraph"/>
        <w:numPr>
          <w:ilvl w:val="0"/>
          <w:numId w:val="2"/>
        </w:numPr>
        <w:spacing w:after="60"/>
      </w:pPr>
      <w:r>
        <w:rPr>
          <w:rFonts w:ascii="Arial" w:cs="Arial" w:eastAsia="Arial" w:hAnsi="Arial"/>
          <w:sz w:val="22"/>
          <w:szCs w:val="22"/>
        </w:rPr>
        <w:t xml:space="preserve">Pre-award spend is authorized only when the scenario-specific risk profile (per §7.5) justifies it AND the cumulative pre-award exposure across the portfolio remains within the Board-approved cap.</w:t>
      </w:r>
    </w:p>
    <w:p>
      <w:pPr>
        <w:pStyle w:val="ListParagraph"/>
        <w:numPr>
          <w:ilvl w:val="0"/>
          <w:numId w:val="2"/>
        </w:numPr>
        <w:spacing w:after="60"/>
      </w:pPr>
      <w:r>
        <w:rPr>
          <w:rFonts w:ascii="Arial" w:cs="Arial" w:eastAsia="Arial" w:hAnsi="Arial"/>
          <w:sz w:val="22"/>
          <w:szCs w:val="22"/>
        </w:rPr>
        <w:t xml:space="preserve">Every pre-award authorization has: a named decision-maker, an explicit spend cap, an explicit reason, and a defined recovery mechanism if the site does not convert.</w:t>
      </w:r>
    </w:p>
    <w:p>
      <w:pPr>
        <w:pStyle w:val="ListParagraph"/>
        <w:numPr>
          <w:ilvl w:val="0"/>
          <w:numId w:val="2"/>
        </w:numPr>
        <w:spacing w:after="60"/>
      </w:pPr>
      <w:r>
        <w:rPr>
          <w:rFonts w:ascii="Arial" w:cs="Arial" w:eastAsia="Arial" w:hAnsi="Arial"/>
          <w:sz w:val="22"/>
          <w:szCs w:val="22"/>
        </w:rPr>
        <w:t xml:space="preserve">Pre-award spend is tracked separately in the Profitability Tracker as "At-Risk Investment" until Endorsement, then reclassified as Site CapEx.</w:t>
      </w:r>
    </w:p>
    <w:p>
      <w:pPr>
        <w:pStyle w:val="Heading3"/>
        <w:spacing w:after="120" w:before="180"/>
      </w:pPr>
      <w:r>
        <w:rPr>
          <w:rFonts w:ascii="Arial" w:cs="Arial" w:eastAsia="Arial" w:hAnsi="Arial"/>
        </w:rPr>
        <w:t xml:space="preserve">Cumulative Pre-Award Cap</w:t>
      </w:r>
    </w:p>
    <w:p>
      <w:pPr>
        <w:pStyle w:val="ListParagraph"/>
        <w:numPr>
          <w:ilvl w:val="0"/>
          <w:numId w:val="2"/>
        </w:numPr>
        <w:spacing w:after="60"/>
      </w:pPr>
      <w:r>
        <w:rPr>
          <w:rFonts w:ascii="Arial" w:cs="Arial" w:eastAsia="Arial" w:hAnsi="Arial"/>
          <w:sz w:val="22"/>
          <w:szCs w:val="22"/>
        </w:rPr>
        <w:t xml:space="preserve">Per-quarter pre-award spend cap: Board-approved (recommended starting at 2% of quarterly CapEx budget).</w:t>
      </w:r>
    </w:p>
    <w:p>
      <w:pPr>
        <w:pStyle w:val="ListParagraph"/>
        <w:numPr>
          <w:ilvl w:val="0"/>
          <w:numId w:val="2"/>
        </w:numPr>
        <w:spacing w:after="60"/>
      </w:pPr>
      <w:r>
        <w:rPr>
          <w:rFonts w:ascii="Arial" w:cs="Arial" w:eastAsia="Arial" w:hAnsi="Arial"/>
          <w:sz w:val="22"/>
          <w:szCs w:val="22"/>
        </w:rPr>
        <w:t xml:space="preserve">Per-site pre-award spend cap by scenario: see §7.5 matrix.</w:t>
      </w:r>
    </w:p>
    <w:p>
      <w:pPr>
        <w:pStyle w:val="ListParagraph"/>
        <w:numPr>
          <w:ilvl w:val="0"/>
          <w:numId w:val="2"/>
        </w:numPr>
        <w:spacing w:after="60"/>
      </w:pPr>
      <w:r>
        <w:rPr>
          <w:rFonts w:ascii="Arial" w:cs="Arial" w:eastAsia="Arial" w:hAnsi="Arial"/>
          <w:sz w:val="22"/>
          <w:szCs w:val="22"/>
        </w:rPr>
        <w:t xml:space="preserve">If quarterly cap is hit, CEO/CFO sign-off required for further pre-award.</w:t>
      </w:r>
    </w:p>
    <w:p>
      <w:pPr>
        <w:pStyle w:val="Heading2"/>
        <w:spacing w:after="180" w:before="240"/>
      </w:pPr>
      <w:r>
        <w:rPr>
          <w:rFonts w:ascii="Arial" w:cs="Arial" w:eastAsia="Arial" w:hAnsi="Arial"/>
        </w:rPr>
        <w:t xml:space="preserve">7.5 Scenario-Based Pre-Award Risk Matrix</w:t>
      </w:r>
    </w:p>
    <w:p>
      <w:pPr>
        <w:spacing w:after="80" w:before="0"/>
      </w:pPr>
      <w:r>
        <w:rPr>
          <w:rFonts w:ascii="Arial" w:cs="Arial" w:eastAsia="Arial" w:hAnsi="Arial"/>
          <w:i/>
          <w:iCs/>
        </w:rPr>
        <w:t xml:space="preserve">Each scenario combines (a) what TowerCo knows about the site, with (b) what TowerCo can afford to pre-spend. Authorization escalates with spend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00"/>
        <w:gridCol w:w="15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Scenario</w:t>
            </w:r>
          </w:p>
        </w:tc>
        <w:tc>
          <w:tcPr>
            <w:tcW w:type="dxa" w:w="15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Risk Profile</w:t>
            </w:r>
          </w:p>
        </w:tc>
        <w:tc>
          <w:tcPr>
            <w:tcW w:type="dxa" w:w="18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Authorized Spend Up To</w:t>
            </w:r>
          </w:p>
        </w:tc>
        <w:tc>
          <w:tcPr>
            <w:tcW w:type="dxa" w:w="15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Cap (PHP)</w:t>
            </w:r>
          </w:p>
        </w:tc>
        <w:tc>
          <w:tcPr>
            <w:tcW w:type="dxa" w:w="15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Approver</w:t>
            </w:r>
          </w:p>
        </w:tc>
      </w:tr>
      <w:tr>
        <w:tc>
          <w:tcPr>
            <w:tcW w:type="dxa" w:w="30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r>
              <w:rPr>
                <w:rFonts w:ascii="Arial" w:cs="Arial" w:eastAsia="Arial" w:hAnsi="Arial"/>
                <w:b/>
                <w:bCs/>
                <w:color w:val="FFFFFF"/>
                <w:sz w:val="20"/>
                <w:szCs w:val="20"/>
              </w:rPr>
              <w:t xml:space="preserve">S1: Candidate exactly within Search Ring + MNO has flagged "Strategic"</w:t>
            </w:r>
          </w:p>
        </w:tc>
        <w:tc>
          <w:tcPr>
            <w:tcW w:type="dxa" w:w="15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LOW</w:t>
            </w:r>
          </w:p>
        </w:tc>
        <w:tc>
          <w:tcPr>
            <w:tcW w:type="dxa" w:w="18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r>
              <w:rPr>
                <w:rFonts w:ascii="Arial" w:cs="Arial" w:eastAsia="Arial" w:hAnsi="Arial"/>
                <w:color w:val="FFFFFF"/>
                <w:sz w:val="20"/>
                <w:szCs w:val="20"/>
              </w:rPr>
              <w:t xml:space="preserve">Building Permit + Material PR</w:t>
            </w:r>
          </w:p>
        </w:tc>
        <w:tc>
          <w:tcPr>
            <w:tcW w:type="dxa" w:w="15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r>
              <w:rPr>
                <w:rFonts w:ascii="Arial" w:cs="Arial" w:eastAsia="Arial" w:hAnsi="Arial"/>
                <w:color w:val="FFFFFF"/>
                <w:sz w:val="20"/>
                <w:szCs w:val="20"/>
              </w:rPr>
              <w:t xml:space="preserve">Up to 60% of total Site CapEx</w:t>
            </w:r>
          </w:p>
        </w:tc>
        <w:tc>
          <w:tcPr>
            <w:tcW w:type="dxa" w:w="156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r>
              <w:rPr>
                <w:rFonts w:ascii="Arial" w:cs="Arial" w:eastAsia="Arial" w:hAnsi="Arial"/>
                <w:color w:val="FFFFFF"/>
                <w:sz w:val="20"/>
                <w:szCs w:val="20"/>
              </w:rPr>
              <w:t xml:space="preserve">BD Director</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S2: Candidate exactly within Search Ring + MNO standard endorsement queue</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LOW-MED</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Locational Clearance + Permit Application Fees</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Up to 20% of total Site CapEx</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Mgr + BD Mgr</w:t>
            </w:r>
          </w:p>
        </w:tc>
      </w:tr>
      <w:tr>
        <w:tc>
          <w:tcPr>
            <w:tcW w:type="dxa" w:w="30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S3: Candidate exactly within SR + MNO Pre-Approval already in writing</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VERY LOW</w:t>
            </w:r>
          </w:p>
        </w:tc>
        <w:tc>
          <w:tcPr>
            <w:tcW w:type="dxa" w:w="18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Up to RTB declaration</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Up to 80% of total Site CapEx</w:t>
            </w:r>
          </w:p>
        </w:tc>
        <w:tc>
          <w:tcPr>
            <w:tcW w:type="dxa" w:w="156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Engineering Director + BD Director</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b/>
                <w:bCs/>
                <w:sz w:val="20"/>
                <w:szCs w:val="20"/>
              </w:rPr>
              <w:t xml:space="preserve">S4: Candidate near SR boundary (≤200m outside) + MNO verbal flexibility</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b/>
                <w:bCs/>
                <w:sz w:val="20"/>
                <w:szCs w:val="20"/>
              </w:rPr>
              <w:t xml:space="preserve">MEDIUM</w:t>
            </w:r>
          </w:p>
        </w:tc>
        <w:tc>
          <w:tcPr>
            <w:tcW w:type="dxa" w:w="18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MOC + Property Docs only</w:t>
            </w:r>
          </w:p>
        </w:tc>
        <w:tc>
          <w:tcPr>
            <w:tcW w:type="dxa" w:w="15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Up to 5% of Site CapEx</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Mgr</w:t>
            </w:r>
          </w:p>
        </w:tc>
      </w:tr>
      <w:tr>
        <w:tc>
          <w:tcPr>
            <w:tcW w:type="dxa" w:w="30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S5: HTA — government landlord / institutional MOU exists in inventory</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LOW</w:t>
            </w:r>
          </w:p>
        </w:tc>
        <w:tc>
          <w:tcPr>
            <w:tcW w:type="dxa" w:w="18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Permit Application + Engineering</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Up to 30% of Site CapEx</w:t>
            </w:r>
          </w:p>
        </w:tc>
        <w:tc>
          <w:tcPr>
            <w:tcW w:type="dxa" w:w="156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BD Director</w:t>
            </w:r>
          </w:p>
        </w:tc>
      </w:tr>
      <w:tr>
        <w:tc>
          <w:tcPr>
            <w:tcW w:type="dxa" w:w="30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b/>
                <w:bCs/>
                <w:sz w:val="20"/>
                <w:szCs w:val="20"/>
              </w:rPr>
              <w:t xml:space="preserve">S6: HTA — no MOU, competitive bid expected</w:t>
            </w:r>
          </w:p>
        </w:tc>
        <w:tc>
          <w:tcPr>
            <w:tcW w:type="dxa" w:w="15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pPr>
              <w:jc w:val="center"/>
            </w:pPr>
            <w:r>
              <w:rPr>
                <w:rFonts w:ascii="Arial" w:cs="Arial" w:eastAsia="Arial" w:hAnsi="Arial"/>
                <w:b/>
                <w:bCs/>
                <w:sz w:val="20"/>
                <w:szCs w:val="20"/>
              </w:rPr>
              <w:t xml:space="preserve">HIGH</w:t>
            </w:r>
          </w:p>
        </w:tc>
        <w:tc>
          <w:tcPr>
            <w:tcW w:type="dxa" w:w="18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Lessor SPA + Reservation Fee only</w:t>
            </w:r>
          </w:p>
        </w:tc>
        <w:tc>
          <w:tcPr>
            <w:tcW w:type="dxa" w:w="15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Up to 2% of Site CapEx</w:t>
            </w:r>
          </w:p>
        </w:tc>
        <w:tc>
          <w:tcPr>
            <w:tcW w:type="dxa" w:w="156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sz w:val="20"/>
                <w:szCs w:val="20"/>
              </w:rPr>
              <w:t xml:space="preserve">SAQ Mgr + BD Mgr</w:t>
            </w:r>
          </w:p>
        </w:tc>
      </w:tr>
      <w:tr>
        <w:tc>
          <w:tcPr>
            <w:tcW w:type="dxa" w:w="30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S7: Multi-MNO interest, single TowerCo opportunity (build to multi-tenant)</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pPr>
              <w:jc w:val="center"/>
            </w:pPr>
            <w:r>
              <w:rPr>
                <w:rFonts w:ascii="Arial" w:cs="Arial" w:eastAsia="Arial" w:hAnsi="Arial"/>
                <w:b/>
                <w:bCs/>
                <w:sz w:val="20"/>
                <w:szCs w:val="20"/>
              </w:rPr>
              <w:t xml:space="preserve">LOW</w:t>
            </w:r>
          </w:p>
        </w:tc>
        <w:tc>
          <w:tcPr>
            <w:tcW w:type="dxa" w:w="18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Up to RTB</w:t>
            </w:r>
          </w:p>
        </w:tc>
        <w:tc>
          <w:tcPr>
            <w:tcW w:type="dxa" w:w="150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Up to 70% of Site CapEx</w:t>
            </w:r>
          </w:p>
        </w:tc>
        <w:tc>
          <w:tcPr>
            <w:tcW w:type="dxa" w:w="1560"/>
            <w:tcBorders>
              <w:top w:val="single" w:color="B4C7E7" w:sz="4"/>
              <w:left w:val="single" w:color="B4C7E7" w:sz="4"/>
              <w:bottom w:val="single" w:color="B4C7E7" w:sz="4"/>
              <w:right w:val="single" w:color="B4C7E7" w:sz="4"/>
            </w:tcBorders>
            <w:shd w:fill="D5E8F0" w:val="clear"/>
            <w:tcMar>
              <w:top w:type="dxa" w:w="80"/>
              <w:left w:type="dxa" w:w="120"/>
              <w:bottom w:type="dxa" w:w="80"/>
              <w:right w:type="dxa" w:w="120"/>
            </w:tcMar>
            <w:vAlign w:val="top"/>
          </w:tcPr>
          <w:p>
            <w:r>
              <w:rPr>
                <w:rFonts w:ascii="Arial" w:cs="Arial" w:eastAsia="Arial" w:hAnsi="Arial"/>
                <w:sz w:val="20"/>
                <w:szCs w:val="20"/>
              </w:rPr>
              <w:t xml:space="preserve">BD Director + COO</w:t>
            </w:r>
          </w:p>
        </w:tc>
      </w:tr>
      <w:tr>
        <w:tc>
          <w:tcPr>
            <w:tcW w:type="dxa" w:w="30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S8: Speculative — no MNO endorsement, building based on coverage analytics</w:t>
            </w:r>
          </w:p>
        </w:tc>
        <w:tc>
          <w:tcPr>
            <w:tcW w:type="dxa" w:w="15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VERY HIGH</w:t>
            </w:r>
          </w:p>
        </w:tc>
        <w:tc>
          <w:tcPr>
            <w:tcW w:type="dxa" w:w="18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Case-by-case</w:t>
            </w:r>
          </w:p>
        </w:tc>
        <w:tc>
          <w:tcPr>
            <w:tcW w:type="dxa" w:w="15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Case-by-case</w:t>
            </w:r>
          </w:p>
        </w:tc>
        <w:tc>
          <w:tcPr>
            <w:tcW w:type="dxa" w:w="156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color w:val="FFFFFF"/>
                <w:sz w:val="20"/>
                <w:szCs w:val="20"/>
              </w:rPr>
              <w:t xml:space="preserve">CEO + ManCom</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Recovery Mechanisms (If Site Doesn't Convert)</w:t>
      </w:r>
    </w:p>
    <w:p>
      <w:pPr>
        <w:pStyle w:val="ListParagraph"/>
        <w:numPr>
          <w:ilvl w:val="0"/>
          <w:numId w:val="2"/>
        </w:numPr>
        <w:spacing w:after="60"/>
      </w:pPr>
      <w:r>
        <w:rPr>
          <w:rFonts w:ascii="Arial" w:cs="Arial" w:eastAsia="Arial" w:hAnsi="Arial"/>
          <w:sz w:val="22"/>
          <w:szCs w:val="22"/>
        </w:rPr>
        <w:t xml:space="preserve">Permit / Engineering work: re-purpose for adjacent site if same LGU and similar specifications.</w:t>
      </w:r>
    </w:p>
    <w:p>
      <w:pPr>
        <w:pStyle w:val="ListParagraph"/>
        <w:numPr>
          <w:ilvl w:val="0"/>
          <w:numId w:val="2"/>
        </w:numPr>
        <w:spacing w:after="60"/>
      </w:pPr>
      <w:r>
        <w:rPr>
          <w:rFonts w:ascii="Arial" w:cs="Arial" w:eastAsia="Arial" w:hAnsi="Arial"/>
          <w:sz w:val="22"/>
          <w:szCs w:val="22"/>
        </w:rPr>
        <w:t xml:space="preserve">MOC / Lease: convert to TowerCo speculative inventory (held for future MNO match); annual carrying-cost capped.</w:t>
      </w:r>
    </w:p>
    <w:p>
      <w:pPr>
        <w:pStyle w:val="ListParagraph"/>
        <w:numPr>
          <w:ilvl w:val="0"/>
          <w:numId w:val="2"/>
        </w:numPr>
        <w:spacing w:after="60"/>
      </w:pPr>
      <w:r>
        <w:rPr>
          <w:rFonts w:ascii="Arial" w:cs="Arial" w:eastAsia="Arial" w:hAnsi="Arial"/>
          <w:sz w:val="22"/>
          <w:szCs w:val="22"/>
        </w:rPr>
        <w:t xml:space="preserve">Reservation Fees / SPA payments: governed by individual SPA terms; refund clauses where possible.</w:t>
      </w:r>
    </w:p>
    <w:p>
      <w:pPr>
        <w:pStyle w:val="ListParagraph"/>
        <w:numPr>
          <w:ilvl w:val="0"/>
          <w:numId w:val="2"/>
        </w:numPr>
        <w:spacing w:after="60"/>
      </w:pPr>
      <w:r>
        <w:rPr>
          <w:rFonts w:ascii="Arial" w:cs="Arial" w:eastAsia="Arial" w:hAnsi="Arial"/>
          <w:sz w:val="22"/>
          <w:szCs w:val="22"/>
        </w:rPr>
        <w:t xml:space="preserve">Material PRs: cancellation per supplier T&amp;Cs; consider re-allocation to other sites in pipeline.</w:t>
      </w:r>
    </w:p>
    <w:p>
      <w:pPr>
        <w:pStyle w:val="ListParagraph"/>
        <w:numPr>
          <w:ilvl w:val="0"/>
          <w:numId w:val="2"/>
        </w:numPr>
        <w:spacing w:after="60"/>
      </w:pPr>
      <w:r>
        <w:rPr>
          <w:rFonts w:ascii="Arial" w:cs="Arial" w:eastAsia="Arial" w:hAnsi="Arial"/>
          <w:sz w:val="22"/>
          <w:szCs w:val="22"/>
        </w:rPr>
        <w:t xml:space="preserve">Quarterly write-off review by Finance for any pre-award spend over 365 days without conversion.</w:t>
      </w:r>
    </w:p>
    <w:p>
      <w:pPr>
        <w:pStyle w:val="Heading1"/>
        <w:pageBreakBefore/>
        <w:spacing w:after="240" w:before="240"/>
      </w:pPr>
      <w:r>
        <w:rPr>
          <w:rFonts w:ascii="Arial" w:cs="Arial" w:eastAsia="Arial" w:hAnsi="Arial"/>
        </w:rPr>
        <w:t xml:space="preserve">8. Project Management Office (PMO) &amp; Cost Analysis</w:t>
      </w:r>
    </w:p>
    <w:p>
      <w:pPr>
        <w:pStyle w:val="Heading2"/>
        <w:spacing w:after="180" w:before="240"/>
      </w:pPr>
      <w:r>
        <w:rPr>
          <w:rFonts w:ascii="Arial" w:cs="Arial" w:eastAsia="Arial" w:hAnsi="Arial"/>
        </w:rPr>
        <w:t xml:space="preserve">8.1 Scope &amp; Mandate — Single Source of Truth</w:t>
      </w:r>
    </w:p>
    <w:p>
      <w:pPr>
        <w:spacing w:after="120" w:before="0"/>
      </w:pPr>
      <w:r>
        <w:rPr>
          <w:rFonts w:ascii="Arial" w:cs="Arial" w:eastAsia="Arial" w:hAnsi="Arial"/>
        </w:rPr>
        <w:t xml:space="preserve">The PMO is the Single Source of Truth (SSOT) for every site's status, dates, costs, and risk. No department maintains a parallel tracker; if it isn't in the PMO Master Tracker, it didn't happen. The PMO owns: milestone gatekeeping, weekly cadence, ManCom reporting, profitability reconciliation, vendor penalty enforcement.</w:t>
      </w:r>
    </w:p>
    <w:p>
      <w:pPr>
        <w:spacing w:after="120" w:before="0"/>
      </w:pPr>
      <w:r>
        <w:rPr>
          <w:rFonts w:ascii="Arial" w:cs="Arial" w:eastAsia="Arial" w:hAnsi="Arial"/>
          <w:i/>
          <w:iCs/>
        </w:rPr>
        <w:t xml:space="preserve">This SSOT principle directly addresses the bottleneck visible in the WK3 data — 18 sites "With Issues / Returned," 86 "SAQ Phase," 15 "Permitting," 6 "Ready-to-Build," 14 "Implementation," 19 "Civil Works Completed (No Power)," 46 RFTI WIP — a portfolio that demands one source of state, not many.</w:t>
      </w:r>
    </w:p>
    <w:p>
      <w:pPr>
        <w:pStyle w:val="Heading2"/>
        <w:spacing w:after="180" w:before="240"/>
      </w:pPr>
      <w:r>
        <w:rPr>
          <w:rFonts w:ascii="Arial" w:cs="Arial" w:eastAsia="Arial" w:hAnsi="Arial"/>
        </w:rPr>
        <w:t xml:space="preserve">8.2 Milestone Gatekeeping Validation Checklists</w:t>
      </w:r>
    </w:p>
    <w:p>
      <w:pPr>
        <w:spacing w:after="120" w:before="0"/>
      </w:pPr>
      <w:r>
        <w:rPr>
          <w:rFonts w:ascii="Arial" w:cs="Arial" w:eastAsia="Arial" w:hAnsi="Arial"/>
        </w:rPr>
        <w:t xml:space="preserve">A site moves to the next phase ONLY when the gate checklist is signed off by the PMO Gatekeeper (PMO Officer) and the owning Department Manager. No retrospective gate passes.</w:t>
      </w:r>
    </w:p>
    <w:p>
      <w:pPr>
        <w:pStyle w:val="Heading3"/>
        <w:spacing w:after="120" w:before="180"/>
      </w:pPr>
      <w:r>
        <w:rPr>
          <w:rFonts w:ascii="Arial" w:cs="Arial" w:eastAsia="Arial" w:hAnsi="Arial"/>
        </w:rPr>
        <w:t xml:space="preserve">GATE 1 — SAQ → Pre-Construction (TSSR Approved)</w:t>
      </w:r>
    </w:p>
    <w:p>
      <w:pPr>
        <w:spacing w:after="60"/>
        <w:ind w:left="360"/>
      </w:pPr>
      <w:r>
        <w:rPr>
          <w:rFonts w:ascii="Arial" w:cs="Arial" w:eastAsia="Arial" w:hAnsi="Arial"/>
          <w:sz w:val="22"/>
          <w:szCs w:val="22"/>
        </w:rPr>
        <w:t xml:space="preserve">☐  Endorsement Letter from MNO on file.</w:t>
      </w:r>
    </w:p>
    <w:p>
      <w:pPr>
        <w:spacing w:after="60"/>
        <w:ind w:left="360"/>
      </w:pPr>
      <w:r>
        <w:rPr>
          <w:rFonts w:ascii="Arial" w:cs="Arial" w:eastAsia="Arial" w:hAnsi="Arial"/>
          <w:sz w:val="22"/>
          <w:szCs w:val="22"/>
        </w:rPr>
        <w:t xml:space="preserve">☐  Approved TSSR (Sched 4 Part D-compliant) on file.</w:t>
      </w:r>
    </w:p>
    <w:p>
      <w:pPr>
        <w:spacing w:after="60"/>
        <w:ind w:left="360"/>
      </w:pPr>
      <w:r>
        <w:rPr>
          <w:rFonts w:ascii="Arial" w:cs="Arial" w:eastAsia="Arial" w:hAnsi="Arial"/>
          <w:sz w:val="22"/>
          <w:szCs w:val="22"/>
        </w:rPr>
        <w:t xml:space="preserve">☐  Site Hunting Report archived.</w:t>
      </w:r>
    </w:p>
    <w:p>
      <w:pPr>
        <w:spacing w:after="60"/>
        <w:ind w:left="360"/>
      </w:pPr>
      <w:r>
        <w:rPr>
          <w:rFonts w:ascii="Arial" w:cs="Arial" w:eastAsia="Arial" w:hAnsi="Arial"/>
          <w:sz w:val="22"/>
          <w:szCs w:val="22"/>
        </w:rPr>
        <w:t xml:space="preserve">☐  eLAS IRR-passed and MNO-approved.</w:t>
      </w:r>
    </w:p>
    <w:p>
      <w:pPr>
        <w:spacing w:after="60"/>
        <w:ind w:left="360"/>
      </w:pPr>
      <w:r>
        <w:rPr>
          <w:rFonts w:ascii="Arial" w:cs="Arial" w:eastAsia="Arial" w:hAnsi="Arial"/>
          <w:sz w:val="22"/>
          <w:szCs w:val="22"/>
        </w:rPr>
        <w:t xml:space="preserve">☐  Signed MOC + property documents archived.</w:t>
      </w:r>
    </w:p>
    <w:p>
      <w:pPr>
        <w:spacing w:after="60"/>
        <w:ind w:left="360"/>
      </w:pPr>
      <w:r>
        <w:rPr>
          <w:rFonts w:ascii="Arial" w:cs="Arial" w:eastAsia="Arial" w:hAnsi="Arial"/>
          <w:sz w:val="22"/>
          <w:szCs w:val="22"/>
        </w:rPr>
        <w:t xml:space="preserve">☐  Signed COL on file.</w:t>
      </w:r>
    </w:p>
    <w:p>
      <w:pPr>
        <w:spacing w:after="60"/>
        <w:ind w:left="360"/>
      </w:pPr>
      <w:r>
        <w:rPr>
          <w:rFonts w:ascii="Arial" w:cs="Arial" w:eastAsia="Arial" w:hAnsi="Arial"/>
          <w:sz w:val="22"/>
          <w:szCs w:val="22"/>
        </w:rPr>
        <w:t xml:space="preserve">☐  Neighbors' Consent on file.</w:t>
      </w:r>
    </w:p>
    <w:p>
      <w:pPr>
        <w:spacing w:after="60"/>
        <w:ind w:left="360"/>
      </w:pPr>
      <w:r>
        <w:rPr>
          <w:rFonts w:ascii="Arial" w:cs="Arial" w:eastAsia="Arial" w:hAnsi="Arial"/>
          <w:sz w:val="22"/>
          <w:szCs w:val="22"/>
        </w:rPr>
        <w:t xml:space="preserve">☐  HOA / Barangay Clearance (preliminary) on file.</w:t>
      </w:r>
    </w:p>
    <w:p>
      <w:pPr>
        <w:spacing w:after="60"/>
        <w:ind w:left="360"/>
      </w:pPr>
      <w:r>
        <w:rPr>
          <w:rFonts w:ascii="Arial" w:cs="Arial" w:eastAsia="Arial" w:hAnsi="Arial"/>
          <w:sz w:val="22"/>
          <w:szCs w:val="22"/>
        </w:rPr>
        <w:t xml:space="preserve">☐  Day 1 (TSSR Approval Date) recorded; Day 120 target computed.</w:t>
      </w:r>
    </w:p>
    <w:p>
      <w:pPr>
        <w:spacing w:after="60"/>
        <w:ind w:left="360"/>
      </w:pPr>
      <w:r>
        <w:rPr>
          <w:rFonts w:ascii="Arial" w:cs="Arial" w:eastAsia="Arial" w:hAnsi="Arial"/>
          <w:sz w:val="22"/>
          <w:szCs w:val="22"/>
        </w:rPr>
        <w:t xml:space="preserve">☐  Site Tracker reflects "SAQ Complete"; PR for SBT/SI/Lot Seg/Traverse released.</w:t>
      </w:r>
    </w:p>
    <w:p>
      <w:pPr>
        <w:pStyle w:val="Heading3"/>
        <w:spacing w:after="120" w:before="180"/>
      </w:pPr>
      <w:r>
        <w:rPr>
          <w:rFonts w:ascii="Arial" w:cs="Arial" w:eastAsia="Arial" w:hAnsi="Arial"/>
        </w:rPr>
        <w:t xml:space="preserve">GATE 2 — Pre-Construction → Permitting (DDD Approved + BOQ Released)</w:t>
      </w:r>
    </w:p>
    <w:p>
      <w:pPr>
        <w:spacing w:after="60"/>
        <w:ind w:left="360"/>
      </w:pPr>
      <w:r>
        <w:rPr>
          <w:rFonts w:ascii="Arial" w:cs="Arial" w:eastAsia="Arial" w:hAnsi="Arial"/>
          <w:sz w:val="22"/>
          <w:szCs w:val="22"/>
        </w:rPr>
        <w:t xml:space="preserve">☐  SBT report sealed by geotechnical engineer.</w:t>
      </w:r>
    </w:p>
    <w:p>
      <w:pPr>
        <w:spacing w:after="60"/>
        <w:ind w:left="360"/>
      </w:pPr>
      <w:r>
        <w:rPr>
          <w:rFonts w:ascii="Arial" w:cs="Arial" w:eastAsia="Arial" w:hAnsi="Arial"/>
          <w:sz w:val="22"/>
          <w:szCs w:val="22"/>
        </w:rPr>
        <w:t xml:space="preserve">☐  SI report sealed (if rooftop/colocation).</w:t>
      </w:r>
    </w:p>
    <w:p>
      <w:pPr>
        <w:spacing w:after="60"/>
        <w:ind w:left="360"/>
      </w:pPr>
      <w:r>
        <w:rPr>
          <w:rFonts w:ascii="Arial" w:cs="Arial" w:eastAsia="Arial" w:hAnsi="Arial"/>
          <w:sz w:val="22"/>
          <w:szCs w:val="22"/>
        </w:rPr>
        <w:t xml:space="preserve">☐  Lot segregation and traverse complete.</w:t>
      </w:r>
    </w:p>
    <w:p>
      <w:pPr>
        <w:spacing w:after="60"/>
        <w:ind w:left="360"/>
      </w:pPr>
      <w:r>
        <w:rPr>
          <w:rFonts w:ascii="Arial" w:cs="Arial" w:eastAsia="Arial" w:hAnsi="Arial"/>
          <w:sz w:val="22"/>
          <w:szCs w:val="22"/>
        </w:rPr>
        <w:t xml:space="preserve">☐  DDD complete and sign-and-sealed (all disciplines).</w:t>
      </w:r>
    </w:p>
    <w:p>
      <w:pPr>
        <w:spacing w:after="60"/>
        <w:ind w:left="360"/>
      </w:pPr>
      <w:r>
        <w:rPr>
          <w:rFonts w:ascii="Arial" w:cs="Arial" w:eastAsia="Arial" w:hAnsi="Arial"/>
          <w:sz w:val="22"/>
          <w:szCs w:val="22"/>
        </w:rPr>
        <w:t xml:space="preserve">☐  DDD Checklist (Sched 4 Part G) submitted to MNO within 5 WD of TSSR approval.</w:t>
      </w:r>
    </w:p>
    <w:p>
      <w:pPr>
        <w:spacing w:after="60"/>
        <w:ind w:left="360"/>
      </w:pPr>
      <w:r>
        <w:rPr>
          <w:rFonts w:ascii="Arial" w:cs="Arial" w:eastAsia="Arial" w:hAnsi="Arial"/>
          <w:sz w:val="22"/>
          <w:szCs w:val="22"/>
        </w:rPr>
        <w:t xml:space="preserve">☐  MNO Notice to Proceed received.</w:t>
      </w:r>
    </w:p>
    <w:p>
      <w:pPr>
        <w:spacing w:after="60"/>
        <w:ind w:left="360"/>
      </w:pPr>
      <w:r>
        <w:rPr>
          <w:rFonts w:ascii="Arial" w:cs="Arial" w:eastAsia="Arial" w:hAnsi="Arial"/>
          <w:sz w:val="22"/>
          <w:szCs w:val="22"/>
        </w:rPr>
        <w:t xml:space="preserve">☐  BOQ approved by Design Mgr; PR for CME works released.</w:t>
      </w:r>
    </w:p>
    <w:p>
      <w:pPr>
        <w:spacing w:after="60"/>
        <w:ind w:left="360"/>
      </w:pPr>
      <w:r>
        <w:rPr>
          <w:rFonts w:ascii="Arial" w:cs="Arial" w:eastAsia="Arial" w:hAnsi="Arial"/>
          <w:sz w:val="22"/>
          <w:szCs w:val="22"/>
        </w:rPr>
        <w:t xml:space="preserve">☐  Variation Orders (if any) approved per matrix.</w:t>
      </w:r>
    </w:p>
    <w:p>
      <w:pPr>
        <w:pStyle w:val="Heading3"/>
        <w:spacing w:after="120" w:before="180"/>
      </w:pPr>
      <w:r>
        <w:rPr>
          <w:rFonts w:ascii="Arial" w:cs="Arial" w:eastAsia="Arial" w:hAnsi="Arial"/>
        </w:rPr>
        <w:t xml:space="preserve">GATE 3 — Permitting → Construction (Building Permit Issued OR Risk Build Authorized)</w:t>
      </w:r>
    </w:p>
    <w:p>
      <w:pPr>
        <w:spacing w:after="60"/>
        <w:ind w:left="360"/>
      </w:pPr>
      <w:r>
        <w:rPr>
          <w:rFonts w:ascii="Arial" w:cs="Arial" w:eastAsia="Arial" w:hAnsi="Arial"/>
          <w:sz w:val="22"/>
          <w:szCs w:val="22"/>
        </w:rPr>
        <w:t xml:space="preserve">☐  Barangay Clearance issued.</w:t>
      </w:r>
    </w:p>
    <w:p>
      <w:pPr>
        <w:spacing w:after="60"/>
        <w:ind w:left="360"/>
      </w:pPr>
      <w:r>
        <w:rPr>
          <w:rFonts w:ascii="Arial" w:cs="Arial" w:eastAsia="Arial" w:hAnsi="Arial"/>
          <w:sz w:val="22"/>
          <w:szCs w:val="22"/>
        </w:rPr>
        <w:t xml:space="preserve">☐  Locational/Zoning Clearance issued.</w:t>
      </w:r>
    </w:p>
    <w:p>
      <w:pPr>
        <w:spacing w:after="60"/>
        <w:ind w:left="360"/>
      </w:pPr>
      <w:r>
        <w:rPr>
          <w:rFonts w:ascii="Arial" w:cs="Arial" w:eastAsia="Arial" w:hAnsi="Arial"/>
          <w:sz w:val="22"/>
          <w:szCs w:val="22"/>
        </w:rPr>
        <w:t xml:space="preserve">☐  CSHP submitted and DOLE acknowledged.</w:t>
      </w:r>
    </w:p>
    <w:p>
      <w:pPr>
        <w:spacing w:after="60"/>
        <w:ind w:left="360"/>
      </w:pPr>
      <w:r>
        <w:rPr>
          <w:rFonts w:ascii="Arial" w:cs="Arial" w:eastAsia="Arial" w:hAnsi="Arial"/>
          <w:sz w:val="22"/>
          <w:szCs w:val="22"/>
        </w:rPr>
        <w:t xml:space="preserve">☐  Building Permit issued; OR Risk Build authorization on file (per §2.8 matrix).</w:t>
      </w:r>
    </w:p>
    <w:p>
      <w:pPr>
        <w:spacing w:after="60"/>
        <w:ind w:left="360"/>
      </w:pPr>
      <w:r>
        <w:rPr>
          <w:rFonts w:ascii="Arial" w:cs="Arial" w:eastAsia="Arial" w:hAnsi="Arial"/>
          <w:sz w:val="22"/>
          <w:szCs w:val="22"/>
        </w:rPr>
        <w:t xml:space="preserve">☐  Fire Safety Evaluation Clearance issued.</w:t>
      </w:r>
    </w:p>
    <w:p>
      <w:pPr>
        <w:spacing w:after="60"/>
        <w:ind w:left="360"/>
      </w:pPr>
      <w:r>
        <w:rPr>
          <w:rFonts w:ascii="Arial" w:cs="Arial" w:eastAsia="Arial" w:hAnsi="Arial"/>
          <w:sz w:val="22"/>
          <w:szCs w:val="22"/>
        </w:rPr>
        <w:t xml:space="preserve">☐  DENR ECC / CNC obtained.</w:t>
      </w:r>
    </w:p>
    <w:p>
      <w:pPr>
        <w:spacing w:after="60"/>
        <w:ind w:left="360"/>
      </w:pPr>
      <w:r>
        <w:rPr>
          <w:rFonts w:ascii="Arial" w:cs="Arial" w:eastAsia="Arial" w:hAnsi="Arial"/>
          <w:sz w:val="22"/>
          <w:szCs w:val="22"/>
        </w:rPr>
        <w:t xml:space="preserve">☐  CAAP / NHCP / NCIP clearances as applicable.</w:t>
      </w:r>
    </w:p>
    <w:p>
      <w:pPr>
        <w:spacing w:after="60"/>
        <w:ind w:left="360"/>
      </w:pPr>
      <w:r>
        <w:rPr>
          <w:rFonts w:ascii="Arial" w:cs="Arial" w:eastAsia="Arial" w:hAnsi="Arial"/>
          <w:sz w:val="22"/>
          <w:szCs w:val="22"/>
        </w:rPr>
        <w:t xml:space="preserve">☐  RTB Declaration filed in Site Tracker.</w:t>
      </w:r>
    </w:p>
    <w:p>
      <w:pPr>
        <w:spacing w:after="60"/>
        <w:ind w:left="360"/>
      </w:pPr>
      <w:r>
        <w:rPr>
          <w:rFonts w:ascii="Arial" w:cs="Arial" w:eastAsia="Arial" w:hAnsi="Arial"/>
          <w:sz w:val="22"/>
          <w:szCs w:val="22"/>
        </w:rPr>
        <w:t xml:space="preserve">☐  CME PO issued to contractor.</w:t>
      </w:r>
    </w:p>
    <w:p>
      <w:pPr>
        <w:pStyle w:val="Heading3"/>
        <w:spacing w:after="120" w:before="180"/>
      </w:pPr>
      <w:r>
        <w:rPr>
          <w:rFonts w:ascii="Arial" w:cs="Arial" w:eastAsia="Arial" w:hAnsi="Arial"/>
        </w:rPr>
        <w:t xml:space="preserve">GATE 4 — Construction → RFTI (Civil Works Complete + Energization)</w:t>
      </w:r>
    </w:p>
    <w:p>
      <w:pPr>
        <w:spacing w:after="60"/>
        <w:ind w:left="360"/>
      </w:pPr>
      <w:r>
        <w:rPr>
          <w:rFonts w:ascii="Arial" w:cs="Arial" w:eastAsia="Arial" w:hAnsi="Arial"/>
          <w:sz w:val="22"/>
          <w:szCs w:val="22"/>
        </w:rPr>
        <w:t xml:space="preserve">☐  Daily Construction Reports complete; no open NCRs.</w:t>
      </w:r>
    </w:p>
    <w:p>
      <w:pPr>
        <w:spacing w:after="60"/>
        <w:ind w:left="360"/>
      </w:pPr>
      <w:r>
        <w:rPr>
          <w:rFonts w:ascii="Arial" w:cs="Arial" w:eastAsia="Arial" w:hAnsi="Arial"/>
          <w:sz w:val="22"/>
          <w:szCs w:val="22"/>
        </w:rPr>
        <w:t xml:space="preserve">☐  Concrete strength tests passed.</w:t>
      </w:r>
    </w:p>
    <w:p>
      <w:pPr>
        <w:spacing w:after="60"/>
        <w:ind w:left="360"/>
      </w:pPr>
      <w:r>
        <w:rPr>
          <w:rFonts w:ascii="Arial" w:cs="Arial" w:eastAsia="Arial" w:hAnsi="Arial"/>
          <w:sz w:val="22"/>
          <w:szCs w:val="22"/>
        </w:rPr>
        <w:t xml:space="preserve">☐  Tower verticality passed.</w:t>
      </w:r>
    </w:p>
    <w:p>
      <w:pPr>
        <w:spacing w:after="60"/>
        <w:ind w:left="360"/>
      </w:pPr>
      <w:r>
        <w:rPr>
          <w:rFonts w:ascii="Arial" w:cs="Arial" w:eastAsia="Arial" w:hAnsi="Arial"/>
          <w:sz w:val="22"/>
          <w:szCs w:val="22"/>
        </w:rPr>
        <w:t xml:space="preserve">☐  Grounding ≤5Ω (≤1Ω coastal); test report on file.</w:t>
      </w:r>
    </w:p>
    <w:p>
      <w:pPr>
        <w:spacing w:after="60"/>
        <w:ind w:left="360"/>
      </w:pPr>
      <w:r>
        <w:rPr>
          <w:rFonts w:ascii="Arial" w:cs="Arial" w:eastAsia="Arial" w:hAnsi="Arial"/>
          <w:sz w:val="22"/>
          <w:szCs w:val="22"/>
        </w:rPr>
        <w:t xml:space="preserve">☐  DC plant installed and commissioned.</w:t>
      </w:r>
    </w:p>
    <w:p>
      <w:pPr>
        <w:spacing w:after="60"/>
        <w:ind w:left="360"/>
      </w:pPr>
      <w:r>
        <w:rPr>
          <w:rFonts w:ascii="Arial" w:cs="Arial" w:eastAsia="Arial" w:hAnsi="Arial"/>
          <w:sz w:val="22"/>
          <w:szCs w:val="22"/>
        </w:rPr>
        <w:t xml:space="preserve">☐  Battery autonomy test passed.</w:t>
      </w:r>
    </w:p>
    <w:p>
      <w:pPr>
        <w:spacing w:after="60"/>
        <w:ind w:left="360"/>
      </w:pPr>
      <w:r>
        <w:rPr>
          <w:rFonts w:ascii="Arial" w:cs="Arial" w:eastAsia="Arial" w:hAnsi="Arial"/>
          <w:sz w:val="22"/>
          <w:szCs w:val="22"/>
        </w:rPr>
        <w:t xml:space="preserve">☐  Monitoring system access granted to Operator NOC.</w:t>
      </w:r>
    </w:p>
    <w:p>
      <w:pPr>
        <w:spacing w:after="60"/>
        <w:ind w:left="360"/>
      </w:pPr>
      <w:r>
        <w:rPr>
          <w:rFonts w:ascii="Arial" w:cs="Arial" w:eastAsia="Arial" w:hAnsi="Arial"/>
          <w:sz w:val="22"/>
          <w:szCs w:val="22"/>
        </w:rPr>
        <w:t xml:space="preserve">☐  Energization: Commercial Power OR Temp Power (with Power Status logged).</w:t>
      </w:r>
    </w:p>
    <w:p>
      <w:pPr>
        <w:spacing w:after="60"/>
        <w:ind w:left="360"/>
      </w:pPr>
      <w:r>
        <w:rPr>
          <w:rFonts w:ascii="Arial" w:cs="Arial" w:eastAsia="Arial" w:hAnsi="Arial"/>
          <w:sz w:val="22"/>
          <w:szCs w:val="22"/>
        </w:rPr>
        <w:t xml:space="preserve">☐  CFEI issued.</w:t>
      </w:r>
    </w:p>
    <w:p>
      <w:pPr>
        <w:spacing w:after="60"/>
        <w:ind w:left="360"/>
      </w:pPr>
      <w:r>
        <w:rPr>
          <w:rFonts w:ascii="Arial" w:cs="Arial" w:eastAsia="Arial" w:hAnsi="Arial"/>
          <w:sz w:val="22"/>
          <w:szCs w:val="22"/>
        </w:rPr>
        <w:t xml:space="preserve">☐  As-built drawings issued.</w:t>
      </w:r>
    </w:p>
    <w:p>
      <w:pPr>
        <w:spacing w:after="60"/>
        <w:ind w:left="360"/>
      </w:pPr>
      <w:r>
        <w:rPr>
          <w:rFonts w:ascii="Arial" w:cs="Arial" w:eastAsia="Arial" w:hAnsi="Arial"/>
          <w:sz w:val="22"/>
          <w:szCs w:val="22"/>
        </w:rPr>
        <w:t xml:space="preserve">☐  RFI Certificate (Sched 4 Part F) prepared and submitted to MNO within 10 WD of substantial completion.</w:t>
      </w:r>
    </w:p>
    <w:p>
      <w:pPr>
        <w:pStyle w:val="Heading3"/>
        <w:spacing w:after="120" w:before="180"/>
      </w:pPr>
      <w:r>
        <w:rPr>
          <w:rFonts w:ascii="Arial" w:cs="Arial" w:eastAsia="Arial" w:hAnsi="Arial"/>
        </w:rPr>
        <w:t xml:space="preserve">GATE 5 — RFTI → Revenue Generating Site (Site Commencement Date)</w:t>
      </w:r>
    </w:p>
    <w:p>
      <w:pPr>
        <w:spacing w:after="60"/>
        <w:ind w:left="360"/>
      </w:pPr>
      <w:r>
        <w:rPr>
          <w:rFonts w:ascii="Arial" w:cs="Arial" w:eastAsia="Arial" w:hAnsi="Arial"/>
          <w:sz w:val="22"/>
          <w:szCs w:val="22"/>
        </w:rPr>
        <w:t xml:space="preserve">☐  RFI Certificate accepted by MNO (or deemed accepted per Cl. 3.5(b)).</w:t>
      </w:r>
    </w:p>
    <w:p>
      <w:pPr>
        <w:spacing w:after="60"/>
        <w:ind w:left="360"/>
      </w:pPr>
      <w:r>
        <w:rPr>
          <w:rFonts w:ascii="Arial" w:cs="Arial" w:eastAsia="Arial" w:hAnsi="Arial"/>
          <w:sz w:val="22"/>
          <w:szCs w:val="22"/>
        </w:rPr>
        <w:t xml:space="preserve">☐  Site License executed.</w:t>
      </w:r>
    </w:p>
    <w:p>
      <w:pPr>
        <w:spacing w:after="60"/>
        <w:ind w:left="360"/>
      </w:pPr>
      <w:r>
        <w:rPr>
          <w:rFonts w:ascii="Arial" w:cs="Arial" w:eastAsia="Arial" w:hAnsi="Arial"/>
          <w:sz w:val="22"/>
          <w:szCs w:val="22"/>
        </w:rPr>
        <w:t xml:space="preserve">☐  Billing trigger: first month-end invoice issued by Finance.</w:t>
      </w:r>
    </w:p>
    <w:p>
      <w:pPr>
        <w:spacing w:after="60"/>
        <w:ind w:left="360"/>
      </w:pPr>
      <w:r>
        <w:rPr>
          <w:rFonts w:ascii="Arial" w:cs="Arial" w:eastAsia="Arial" w:hAnsi="Arial"/>
          <w:sz w:val="22"/>
          <w:szCs w:val="22"/>
        </w:rPr>
        <w:t xml:space="preserve">☐  O&amp;M handover complete.</w:t>
      </w:r>
    </w:p>
    <w:p>
      <w:pPr>
        <w:spacing w:after="60"/>
        <w:ind w:left="360"/>
      </w:pPr>
      <w:r>
        <w:rPr>
          <w:rFonts w:ascii="Arial" w:cs="Arial" w:eastAsia="Arial" w:hAnsi="Arial"/>
          <w:sz w:val="22"/>
          <w:szCs w:val="22"/>
        </w:rPr>
        <w:t xml:space="preserve">☐  Snag list (if any) tracked.</w:t>
      </w:r>
    </w:p>
    <w:p>
      <w:pPr>
        <w:spacing w:after="60"/>
        <w:ind w:left="360"/>
      </w:pPr>
      <w:r>
        <w:rPr>
          <w:rFonts w:ascii="Arial" w:cs="Arial" w:eastAsia="Arial" w:hAnsi="Arial"/>
          <w:sz w:val="22"/>
          <w:szCs w:val="22"/>
        </w:rPr>
        <w:t xml:space="preserve">☐  Site CapEx closed in Profitability Tracker; final reconciliation done.</w:t>
      </w:r>
    </w:p>
    <w:p>
      <w:pPr>
        <w:pStyle w:val="Heading2"/>
        <w:spacing w:after="180" w:before="240"/>
      </w:pPr>
      <w:r>
        <w:rPr>
          <w:rFonts w:ascii="Arial" w:cs="Arial" w:eastAsia="Arial" w:hAnsi="Arial"/>
        </w:rPr>
        <w:t xml:space="preserve">8.3 Master Site Tracker — Field-by-Field Format</w:t>
      </w:r>
    </w:p>
    <w:p>
      <w:pPr>
        <w:spacing w:after="80" w:before="0"/>
      </w:pPr>
      <w:r>
        <w:rPr>
          <w:rFonts w:ascii="Arial" w:cs="Arial" w:eastAsia="Arial" w:hAnsi="Arial"/>
          <w:i/>
          <w:iCs/>
        </w:rPr>
        <w:t xml:space="preserve">Every site in the portfolio has a single row in the Master Site Tracker. All sub-trackers (Permanent Power Tracker, Risk Tracker, Profitability Tracker) reference the Master via TCO Site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Notes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Auto-generated (e.g., NS-NTG24-A001)</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Site Code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Endorsement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Name (full)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MNO endorsement naming convention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Globe / Smart / DITO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BTS Macro / BTS Small Cell / Colocation / RTB / CEPALCO / Golden City / MACRO to EM / Tahanan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Region / Territory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NCR-T1 / NCR-T2 / NCR-T3 / NCR-T4 / NLZ / SLZ / VIS / MIN — with territory subdivision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Province / City / Barangay</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Hierarchical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Latitude / Longitude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Decimal degrees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Search Ring Name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Endorsement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Endorsement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Endorsement Letter Ref#</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reference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Current Phase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 Permitting / Ready-to-Build / Implementation / Civil Works Complete (No Power) / RFTI / RGS / Closed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Issues / Returned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None / With Issues (describe) / Returned (date, reason)</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Hunting Start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Hunting Complete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TSSR Submitted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TSSR Approved Date (DAY 1)</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TARGET RFI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TSSR Approved + 120 cal. days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MOC Signed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COL Signed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eLAS Approved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SBT Complete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 Complete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DDD Approved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BOQ Released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VO Status (count, total PHP)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Cumulative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Locational Clearance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Building Permit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Risk Build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 / Authorized (date, approver, tier)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SKOM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Civil Works Start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Civil Works Complete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Power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Permanent Power Tracker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Energization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RFI Submitted Date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Target / Actual</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RFI Accepted Date (Site Commencement)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DD-MMM-YYYY</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SLA (TSSR → RFI Accepted)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Days (auto)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SLA Variance vs. 120 days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 days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Delay Ext Requests Filed (count, days)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Cumulative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Force Majeure Days Excluded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Cumulative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Liquidated Damages Exposure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(auto, days × daily LD rate)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Open Risks Count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Risk Tracker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Highest Open Risk Level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L1 / L2 / L3 / L4 / ManCom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SAQ Owner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Person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CME PM</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Person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Power Officer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Person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PMO Gatekeeper</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Person name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Last Updated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 timestamp + user</w:t>
            </w:r>
          </w:p>
        </w:tc>
      </w:tr>
    </w:tbl>
    <w:p>
      <w:pPr>
        <w:pStyle w:val="Heading2"/>
        <w:spacing w:after="180" w:before="240"/>
      </w:pPr>
      <w:r>
        <w:rPr>
          <w:rFonts w:ascii="Arial" w:cs="Arial" w:eastAsia="Arial" w:hAnsi="Arial"/>
        </w:rPr>
        <w:t xml:space="preserve">8.4 Weekly ManCom Dashboard Format</w:t>
      </w:r>
    </w:p>
    <w:p>
      <w:pPr>
        <w:spacing w:after="80" w:before="0"/>
      </w:pPr>
      <w:r>
        <w:rPr>
          <w:rFonts w:ascii="Arial" w:cs="Arial" w:eastAsia="Arial" w:hAnsi="Arial"/>
          <w:i/>
          <w:iCs/>
        </w:rPr>
        <w:t xml:space="preserve">Delivered every Tuesday by PMO; consumed by ManCom Wednesday morning. Models on the WK3 deck format from your operations.</w:t>
      </w:r>
    </w:p>
    <w:p>
      <w:pPr>
        <w:pStyle w:val="Heading3"/>
        <w:spacing w:after="120" w:before="180"/>
      </w:pPr>
      <w:r>
        <w:rPr>
          <w:rFonts w:ascii="Arial" w:cs="Arial" w:eastAsia="Arial" w:hAnsi="Arial"/>
        </w:rPr>
        <w:t xml:space="preserve">Page 1 — Headline KPIs</w:t>
      </w:r>
    </w:p>
    <w:p>
      <w:pPr>
        <w:pStyle w:val="ListParagraph"/>
        <w:numPr>
          <w:ilvl w:val="0"/>
          <w:numId w:val="2"/>
        </w:numPr>
        <w:spacing w:after="60"/>
      </w:pPr>
      <w:r>
        <w:rPr>
          <w:rFonts w:ascii="Arial" w:cs="Arial" w:eastAsia="Arial" w:hAnsi="Arial"/>
          <w:sz w:val="22"/>
          <w:szCs w:val="22"/>
        </w:rPr>
        <w:t xml:space="preserve">Total Active Sites (vs. last week).</w:t>
      </w:r>
    </w:p>
    <w:p>
      <w:pPr>
        <w:pStyle w:val="ListParagraph"/>
        <w:numPr>
          <w:ilvl w:val="0"/>
          <w:numId w:val="2"/>
        </w:numPr>
        <w:spacing w:after="60"/>
      </w:pPr>
      <w:r>
        <w:rPr>
          <w:rFonts w:ascii="Arial" w:cs="Arial" w:eastAsia="Arial" w:hAnsi="Arial"/>
          <w:sz w:val="22"/>
          <w:szCs w:val="22"/>
        </w:rPr>
        <w:t xml:space="preserve">RFTI Count (cumulative, this week, this month, vs. forecast).</w:t>
      </w:r>
    </w:p>
    <w:p>
      <w:pPr>
        <w:pStyle w:val="ListParagraph"/>
        <w:numPr>
          <w:ilvl w:val="0"/>
          <w:numId w:val="2"/>
        </w:numPr>
        <w:spacing w:after="60"/>
      </w:pPr>
      <w:r>
        <w:rPr>
          <w:rFonts w:ascii="Arial" w:cs="Arial" w:eastAsia="Arial" w:hAnsi="Arial"/>
          <w:sz w:val="22"/>
          <w:szCs w:val="22"/>
        </w:rPr>
        <w:t xml:space="preserve">Sites by Phase (with WoW delta): With Issues/Returned, SAQ, Permitting, RTB, Implementation, Civil Works Complete (No Power), RFTI, RGS, Site Completed.</w:t>
      </w:r>
    </w:p>
    <w:p>
      <w:pPr>
        <w:pStyle w:val="ListParagraph"/>
        <w:numPr>
          <w:ilvl w:val="0"/>
          <w:numId w:val="2"/>
        </w:numPr>
        <w:spacing w:after="60"/>
      </w:pPr>
      <w:r>
        <w:rPr>
          <w:rFonts w:ascii="Arial" w:cs="Arial" w:eastAsia="Arial" w:hAnsi="Arial"/>
          <w:sz w:val="22"/>
          <w:szCs w:val="22"/>
        </w:rPr>
        <w:t xml:space="preserve">On-Time Delivery Rate this month (Sites RFI'd within 120 days as % of total RFI'd).</w:t>
      </w:r>
    </w:p>
    <w:p>
      <w:pPr>
        <w:pStyle w:val="ListParagraph"/>
        <w:numPr>
          <w:ilvl w:val="0"/>
          <w:numId w:val="2"/>
        </w:numPr>
        <w:spacing w:after="60"/>
      </w:pPr>
      <w:r>
        <w:rPr>
          <w:rFonts w:ascii="Arial" w:cs="Arial" w:eastAsia="Arial" w:hAnsi="Arial"/>
          <w:sz w:val="22"/>
          <w:szCs w:val="22"/>
        </w:rPr>
        <w:t xml:space="preserve">Trailing 12-Month Average SLA (Endorsement → RFI), trend arrow.</w:t>
      </w:r>
    </w:p>
    <w:p>
      <w:pPr>
        <w:pStyle w:val="ListParagraph"/>
        <w:numPr>
          <w:ilvl w:val="0"/>
          <w:numId w:val="2"/>
        </w:numPr>
        <w:spacing w:after="60"/>
      </w:pPr>
      <w:r>
        <w:rPr>
          <w:rFonts w:ascii="Arial" w:cs="Arial" w:eastAsia="Arial" w:hAnsi="Arial"/>
          <w:sz w:val="22"/>
          <w:szCs w:val="22"/>
        </w:rPr>
        <w:t xml:space="preserve">Liquidated Damages Exposure (current month, YTD).</w:t>
      </w:r>
    </w:p>
    <w:p>
      <w:pPr>
        <w:pStyle w:val="ListParagraph"/>
        <w:numPr>
          <w:ilvl w:val="0"/>
          <w:numId w:val="2"/>
        </w:numPr>
        <w:spacing w:after="60"/>
      </w:pPr>
      <w:r>
        <w:rPr>
          <w:rFonts w:ascii="Arial" w:cs="Arial" w:eastAsia="Arial" w:hAnsi="Arial"/>
          <w:sz w:val="22"/>
          <w:szCs w:val="22"/>
        </w:rPr>
        <w:t xml:space="preserve">Quarterly Pre-Award Spend vs. Cap.</w:t>
      </w:r>
    </w:p>
    <w:p>
      <w:pPr>
        <w:pStyle w:val="Heading3"/>
        <w:spacing w:after="120" w:before="180"/>
      </w:pPr>
      <w:r>
        <w:rPr>
          <w:rFonts w:ascii="Arial" w:cs="Arial" w:eastAsia="Arial" w:hAnsi="Arial"/>
        </w:rPr>
        <w:t xml:space="preserve">Page 2 — Pipeline &amp; Forecast (by MNO, by Project Type)</w:t>
      </w:r>
    </w:p>
    <w:p>
      <w:pPr>
        <w:pStyle w:val="ListParagraph"/>
        <w:numPr>
          <w:ilvl w:val="0"/>
          <w:numId w:val="2"/>
        </w:numPr>
        <w:spacing w:after="60"/>
      </w:pPr>
      <w:r>
        <w:rPr>
          <w:rFonts w:ascii="Arial" w:cs="Arial" w:eastAsia="Arial" w:hAnsi="Arial"/>
          <w:sz w:val="22"/>
          <w:szCs w:val="22"/>
        </w:rPr>
        <w:t xml:space="preserve">Following the WK3 grid: rows = MNOs, columns = Phase counts.</w:t>
      </w:r>
    </w:p>
    <w:p>
      <w:pPr>
        <w:pStyle w:val="ListParagraph"/>
        <w:numPr>
          <w:ilvl w:val="0"/>
          <w:numId w:val="2"/>
        </w:numPr>
        <w:spacing w:after="60"/>
      </w:pPr>
      <w:r>
        <w:rPr>
          <w:rFonts w:ascii="Arial" w:cs="Arial" w:eastAsia="Arial" w:hAnsi="Arial"/>
          <w:sz w:val="22"/>
          <w:szCs w:val="22"/>
        </w:rPr>
        <w:t xml:space="preserve">Sub-rows for each MNO project type (BTS, CEPALCO, Golden City, MACRO to EM, Tahanan, etc.).</w:t>
      </w:r>
    </w:p>
    <w:p>
      <w:pPr>
        <w:pStyle w:val="ListParagraph"/>
        <w:numPr>
          <w:ilvl w:val="0"/>
          <w:numId w:val="2"/>
        </w:numPr>
        <w:spacing w:after="60"/>
      </w:pPr>
      <w:r>
        <w:rPr>
          <w:rFonts w:ascii="Arial" w:cs="Arial" w:eastAsia="Arial" w:hAnsi="Arial"/>
          <w:sz w:val="22"/>
          <w:szCs w:val="22"/>
        </w:rPr>
        <w:t xml:space="preserve">Expected RFI this month + next month (named sites).</w:t>
      </w:r>
    </w:p>
    <w:p>
      <w:pPr>
        <w:pStyle w:val="ListParagraph"/>
        <w:numPr>
          <w:ilvl w:val="0"/>
          <w:numId w:val="2"/>
        </w:numPr>
        <w:spacing w:after="60"/>
      </w:pPr>
      <w:r>
        <w:rPr>
          <w:rFonts w:ascii="Arial" w:cs="Arial" w:eastAsia="Arial" w:hAnsi="Arial"/>
          <w:sz w:val="22"/>
          <w:szCs w:val="22"/>
        </w:rPr>
        <w:t xml:space="preserve">Expected CW Completion this month (named sites).</w:t>
      </w:r>
    </w:p>
    <w:p>
      <w:pPr>
        <w:pStyle w:val="Heading3"/>
        <w:spacing w:after="120" w:before="180"/>
      </w:pPr>
      <w:r>
        <w:rPr>
          <w:rFonts w:ascii="Arial" w:cs="Arial" w:eastAsia="Arial" w:hAnsi="Arial"/>
        </w:rPr>
        <w:t xml:space="preserve">Page 3 — Bottleneck Spotlights</w:t>
      </w:r>
    </w:p>
    <w:p>
      <w:pPr>
        <w:pStyle w:val="ListParagraph"/>
        <w:numPr>
          <w:ilvl w:val="0"/>
          <w:numId w:val="2"/>
        </w:numPr>
        <w:spacing w:after="60"/>
      </w:pPr>
      <w:r>
        <w:rPr>
          <w:rFonts w:ascii="Arial" w:cs="Arial" w:eastAsia="Arial" w:hAnsi="Arial"/>
          <w:sz w:val="22"/>
          <w:szCs w:val="22"/>
        </w:rPr>
        <w:t xml:space="preserve">Top 5 sites stuck in "Civil Works Completed (No Power)" with specific blocker + owner + ETA.</w:t>
      </w:r>
    </w:p>
    <w:p>
      <w:pPr>
        <w:pStyle w:val="ListParagraph"/>
        <w:numPr>
          <w:ilvl w:val="0"/>
          <w:numId w:val="2"/>
        </w:numPr>
        <w:spacing w:after="60"/>
      </w:pPr>
      <w:r>
        <w:rPr>
          <w:rFonts w:ascii="Arial" w:cs="Arial" w:eastAsia="Arial" w:hAnsi="Arial"/>
          <w:sz w:val="22"/>
          <w:szCs w:val="22"/>
        </w:rPr>
        <w:t xml:space="preserve">Top 5 sites stuck in SAQ &gt;30 days with specific blocker + owner.</w:t>
      </w:r>
    </w:p>
    <w:p>
      <w:pPr>
        <w:pStyle w:val="ListParagraph"/>
        <w:numPr>
          <w:ilvl w:val="0"/>
          <w:numId w:val="2"/>
        </w:numPr>
        <w:spacing w:after="60"/>
      </w:pPr>
      <w:r>
        <w:rPr>
          <w:rFonts w:ascii="Arial" w:cs="Arial" w:eastAsia="Arial" w:hAnsi="Arial"/>
          <w:sz w:val="22"/>
          <w:szCs w:val="22"/>
        </w:rPr>
        <w:t xml:space="preserve">Top 5 sites at risk of breaching 120-day SLA this month (days remaining + risk score).</w:t>
      </w:r>
    </w:p>
    <w:p>
      <w:pPr>
        <w:pStyle w:val="ListParagraph"/>
        <w:numPr>
          <w:ilvl w:val="0"/>
          <w:numId w:val="2"/>
        </w:numPr>
        <w:spacing w:after="60"/>
      </w:pPr>
      <w:r>
        <w:rPr>
          <w:rFonts w:ascii="Arial" w:cs="Arial" w:eastAsia="Arial" w:hAnsi="Arial"/>
          <w:sz w:val="22"/>
          <w:szCs w:val="22"/>
        </w:rPr>
        <w:t xml:space="preserve">All sites with Risk Level L4 or ManCom escalation.</w:t>
      </w:r>
    </w:p>
    <w:p>
      <w:pPr>
        <w:pStyle w:val="Heading3"/>
        <w:spacing w:after="120" w:before="180"/>
      </w:pPr>
      <w:r>
        <w:rPr>
          <w:rFonts w:ascii="Arial" w:cs="Arial" w:eastAsia="Arial" w:hAnsi="Arial"/>
        </w:rPr>
        <w:t xml:space="preserve">Page 4 — Regional Performance Heatmap</w:t>
      </w:r>
    </w:p>
    <w:p>
      <w:pPr>
        <w:pStyle w:val="ListParagraph"/>
        <w:numPr>
          <w:ilvl w:val="0"/>
          <w:numId w:val="2"/>
        </w:numPr>
        <w:spacing w:after="60"/>
      </w:pPr>
      <w:r>
        <w:rPr>
          <w:rFonts w:ascii="Arial" w:cs="Arial" w:eastAsia="Arial" w:hAnsi="Arial"/>
          <w:sz w:val="22"/>
          <w:szCs w:val="22"/>
        </w:rPr>
        <w:t xml:space="preserve">Region × Phase grid (sites stuck in each cell).</w:t>
      </w:r>
    </w:p>
    <w:p>
      <w:pPr>
        <w:pStyle w:val="ListParagraph"/>
        <w:numPr>
          <w:ilvl w:val="0"/>
          <w:numId w:val="2"/>
        </w:numPr>
        <w:spacing w:after="60"/>
      </w:pPr>
      <w:r>
        <w:rPr>
          <w:rFonts w:ascii="Arial" w:cs="Arial" w:eastAsia="Arial" w:hAnsi="Arial"/>
          <w:sz w:val="22"/>
          <w:szCs w:val="22"/>
        </w:rPr>
        <w:t xml:space="preserve">Average SLA by region (with trend).</w:t>
      </w:r>
    </w:p>
    <w:p>
      <w:pPr>
        <w:pStyle w:val="ListParagraph"/>
        <w:numPr>
          <w:ilvl w:val="0"/>
          <w:numId w:val="2"/>
        </w:numPr>
        <w:spacing w:after="60"/>
      </w:pPr>
      <w:r>
        <w:rPr>
          <w:rFonts w:ascii="Arial" w:cs="Arial" w:eastAsia="Arial" w:hAnsi="Arial"/>
          <w:sz w:val="22"/>
          <w:szCs w:val="22"/>
        </w:rPr>
        <w:t xml:space="preserve">Award Success Rate by MNO project type (mirrors WK3 "Globe Award Success Rate").</w:t>
      </w:r>
    </w:p>
    <w:p>
      <w:pPr>
        <w:pStyle w:val="Heading3"/>
        <w:spacing w:after="120" w:before="180"/>
      </w:pPr>
      <w:r>
        <w:rPr>
          <w:rFonts w:ascii="Arial" w:cs="Arial" w:eastAsia="Arial" w:hAnsi="Arial"/>
        </w:rPr>
        <w:t xml:space="preserve">Page 5 — Decisions Required from ManCom</w:t>
      </w:r>
    </w:p>
    <w:p>
      <w:pPr>
        <w:pStyle w:val="ListParagraph"/>
        <w:numPr>
          <w:ilvl w:val="0"/>
          <w:numId w:val="2"/>
        </w:numPr>
        <w:spacing w:after="60"/>
      </w:pPr>
      <w:r>
        <w:rPr>
          <w:rFonts w:ascii="Arial" w:cs="Arial" w:eastAsia="Arial" w:hAnsi="Arial"/>
          <w:sz w:val="22"/>
          <w:szCs w:val="22"/>
        </w:rPr>
        <w:t xml:space="preserve">Pre-award spend authorizations needed.</w:t>
      </w:r>
    </w:p>
    <w:p>
      <w:pPr>
        <w:pStyle w:val="ListParagraph"/>
        <w:numPr>
          <w:ilvl w:val="0"/>
          <w:numId w:val="2"/>
        </w:numPr>
        <w:spacing w:after="60"/>
      </w:pPr>
      <w:r>
        <w:rPr>
          <w:rFonts w:ascii="Arial" w:cs="Arial" w:eastAsia="Arial" w:hAnsi="Arial"/>
          <w:sz w:val="22"/>
          <w:szCs w:val="22"/>
        </w:rPr>
        <w:t xml:space="preserve">Risk Build authorizations needed at Tier 3 (full construction).</w:t>
      </w:r>
    </w:p>
    <w:p>
      <w:pPr>
        <w:pStyle w:val="ListParagraph"/>
        <w:numPr>
          <w:ilvl w:val="0"/>
          <w:numId w:val="2"/>
        </w:numPr>
        <w:spacing w:after="60"/>
      </w:pPr>
      <w:r>
        <w:rPr>
          <w:rFonts w:ascii="Arial" w:cs="Arial" w:eastAsia="Arial" w:hAnsi="Arial"/>
          <w:sz w:val="22"/>
          <w:szCs w:val="22"/>
        </w:rPr>
        <w:t xml:space="preserve">VOs &gt;2M PHP.</w:t>
      </w:r>
    </w:p>
    <w:p>
      <w:pPr>
        <w:pStyle w:val="ListParagraph"/>
        <w:numPr>
          <w:ilvl w:val="0"/>
          <w:numId w:val="2"/>
        </w:numPr>
        <w:spacing w:after="60"/>
      </w:pPr>
      <w:r>
        <w:rPr>
          <w:rFonts w:ascii="Arial" w:cs="Arial" w:eastAsia="Arial" w:hAnsi="Arial"/>
          <w:sz w:val="22"/>
          <w:szCs w:val="22"/>
        </w:rPr>
        <w:t xml:space="preserve">Force Majeure declarations to make.</w:t>
      </w:r>
    </w:p>
    <w:p>
      <w:pPr>
        <w:pStyle w:val="ListParagraph"/>
        <w:numPr>
          <w:ilvl w:val="0"/>
          <w:numId w:val="2"/>
        </w:numPr>
        <w:spacing w:after="60"/>
      </w:pPr>
      <w:r>
        <w:rPr>
          <w:rFonts w:ascii="Arial" w:cs="Arial" w:eastAsia="Arial" w:hAnsi="Arial"/>
          <w:sz w:val="22"/>
          <w:szCs w:val="22"/>
        </w:rPr>
        <w:t xml:space="preserve">Vendor penalty enforcement decisions.</w:t>
      </w:r>
    </w:p>
    <w:p>
      <w:pPr>
        <w:pStyle w:val="Heading2"/>
        <w:spacing w:after="180" w:before="240"/>
      </w:pPr>
      <w:r>
        <w:rPr>
          <w:rFonts w:ascii="Arial" w:cs="Arial" w:eastAsia="Arial" w:hAnsi="Arial"/>
        </w:rPr>
        <w:t xml:space="preserve">8.5 Real-Time Site Profitability Tracker</w:t>
      </w:r>
    </w:p>
    <w:p>
      <w:pPr>
        <w:spacing w:after="80" w:before="0"/>
      </w:pPr>
      <w:r>
        <w:rPr>
          <w:rFonts w:ascii="Arial" w:cs="Arial" w:eastAsia="Arial" w:hAnsi="Arial"/>
          <w:i/>
          <w:iCs/>
        </w:rPr>
        <w:t xml:space="preserve">Reconciles baseline budget against actual spend for every active site, with variance attribution. Updated weekly from ERP/Procurement; viewed by PMO, Finance, ManCom.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Field</w:t>
            </w:r>
          </w:p>
        </w:tc>
        <w:tc>
          <w:tcPr>
            <w:tcW w:type="dxa" w:w="63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Format / Notes</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Site ID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Reference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 / Project Type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Reference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Region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Reference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Phase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From Master Tracker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Budget — Total Site CapEx</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 at Endorsement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SAQ</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Engineering / SBT / SI / Lot Seg / Traverse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Permitting + LGU Fees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CME / Civil Works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Tower Material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DC Plant + Install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Baseline — Power / ROW Clearing / Energization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SAQ</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(running)</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Engineering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Permitting + LGU Fees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CME / Civil Works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Tower Material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DC Plant + Install</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Actual Spend — Power / ROW / Energization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VO Cost (cumulative)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Unexpected LGU Fees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 vs. permit budget</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Temp Power Cost (cumulative)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Liquidated Damages Accrued (this month / cumulative)</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TOTAL Actual Spend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Auto-sum</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Variance to Baseline (PHP)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 Actual − Baseline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Variance to Baseline (%)</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Variance Categorization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VO / LGU / Power / FM / Vendor / Scope Creep / Estimating Error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Recoverable Spend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 (back-charges to MNO or vendor)</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Net Site CapEx</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 Total Spend − Recoverable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Anchor Tenant Lease Fee (PHP/mo)</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Sched 2</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Projected Co-Tenant(s)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Names + lease fee + start month</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Effective Tenancy Ratio</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Computed</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IRR (10-yr, projected)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Site NPV @ WACC</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PHP</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Payback Period (years)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Auto</w:t>
            </w:r>
          </w:p>
        </w:tc>
      </w:tr>
      <w:tr>
        <w:tc>
          <w:tcPr>
            <w:tcW w:type="dxa" w:w="30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Profitability Status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On-track / Watch / Underperforming / At-loss</w:t>
            </w:r>
          </w:p>
        </w:tc>
      </w:tr>
    </w:tbl>
    <w:p>
      <w:pPr>
        <w:pStyle w:val="Heading2"/>
        <w:spacing w:after="180" w:before="240"/>
      </w:pPr>
      <w:r>
        <w:rPr>
          <w:rFonts w:ascii="Arial" w:cs="Arial" w:eastAsia="Arial" w:hAnsi="Arial"/>
        </w:rPr>
        <w:t xml:space="preserve">8.6 Vendor Penalty &amp; Back-Charging Policy</w:t>
      </w:r>
    </w:p>
    <w:p>
      <w:pPr>
        <w:spacing w:after="120" w:before="0"/>
      </w:pPr>
      <w:r>
        <w:rPr>
          <w:rFonts w:ascii="Arial" w:cs="Arial" w:eastAsia="Arial" w:hAnsi="Arial"/>
        </w:rPr>
        <w:t xml:space="preserve">Subcontractor delays — CME contractors, SBT/SI vendors, geodetic surveyors, power vendors, SAQ vendors — are the operational mechanism behind much of the 491-day average SLA. The penalty regime makes vendor accountability explicit and contractually enforceable.</w:t>
      </w:r>
    </w:p>
    <w:p>
      <w:pPr>
        <w:pStyle w:val="Heading3"/>
        <w:spacing w:after="120" w:before="180"/>
      </w:pPr>
      <w:r>
        <w:rPr>
          <w:rFonts w:ascii="Arial" w:cs="Arial" w:eastAsia="Arial" w:hAnsi="Arial"/>
        </w:rPr>
        <w:t xml:space="preserve">Mandatory Vendor Contract Clauses</w:t>
      </w:r>
    </w:p>
    <w:p>
      <w:pPr>
        <w:pStyle w:val="ListParagraph"/>
        <w:numPr>
          <w:ilvl w:val="0"/>
          <w:numId w:val="2"/>
        </w:numPr>
        <w:spacing w:after="60"/>
      </w:pPr>
      <w:r>
        <w:rPr>
          <w:rFonts w:ascii="Arial" w:cs="Arial" w:eastAsia="Arial" w:hAnsi="Arial"/>
          <w:sz w:val="22"/>
          <w:szCs w:val="22"/>
        </w:rPr>
        <w:t xml:space="preserve">Time SLA per deliverable with daily liquidated damages of 0.5% of contract value per day of delay, capped at 10%.</w:t>
      </w:r>
    </w:p>
    <w:p>
      <w:pPr>
        <w:pStyle w:val="ListParagraph"/>
        <w:numPr>
          <w:ilvl w:val="0"/>
          <w:numId w:val="2"/>
        </w:numPr>
        <w:spacing w:after="60"/>
      </w:pPr>
      <w:r>
        <w:rPr>
          <w:rFonts w:ascii="Arial" w:cs="Arial" w:eastAsia="Arial" w:hAnsi="Arial"/>
          <w:sz w:val="22"/>
          <w:szCs w:val="22"/>
        </w:rPr>
        <w:t xml:space="preserve">Quality SLA with rework provisions at vendor cost (no time relief).</w:t>
      </w:r>
    </w:p>
    <w:p>
      <w:pPr>
        <w:pStyle w:val="ListParagraph"/>
        <w:numPr>
          <w:ilvl w:val="0"/>
          <w:numId w:val="2"/>
        </w:numPr>
        <w:spacing w:after="60"/>
      </w:pPr>
      <w:r>
        <w:rPr>
          <w:rFonts w:ascii="Arial" w:cs="Arial" w:eastAsia="Arial" w:hAnsi="Arial"/>
          <w:sz w:val="22"/>
          <w:szCs w:val="22"/>
        </w:rPr>
        <w:t xml:space="preserve">Safety: zero-tolerance for LTI and fatality — DOLE penalty pass-through + disqualification.</w:t>
      </w:r>
    </w:p>
    <w:p>
      <w:pPr>
        <w:pStyle w:val="ListParagraph"/>
        <w:numPr>
          <w:ilvl w:val="0"/>
          <w:numId w:val="2"/>
        </w:numPr>
        <w:spacing w:after="60"/>
      </w:pPr>
      <w:r>
        <w:rPr>
          <w:rFonts w:ascii="Arial" w:cs="Arial" w:eastAsia="Arial" w:hAnsi="Arial"/>
          <w:sz w:val="22"/>
          <w:szCs w:val="22"/>
        </w:rPr>
        <w:t xml:space="preserve">Right of TowerCo to back-charge: temp power costs, expediting fees, third-party rework, MNO LDs caused by vendor.</w:t>
      </w:r>
    </w:p>
    <w:p>
      <w:pPr>
        <w:pStyle w:val="ListParagraph"/>
        <w:numPr>
          <w:ilvl w:val="0"/>
          <w:numId w:val="2"/>
        </w:numPr>
        <w:spacing w:after="60"/>
      </w:pPr>
      <w:r>
        <w:rPr>
          <w:rFonts w:ascii="Arial" w:cs="Arial" w:eastAsia="Arial" w:hAnsi="Arial"/>
          <w:sz w:val="22"/>
          <w:szCs w:val="22"/>
        </w:rPr>
        <w:t xml:space="preserve">Performance bond (5–10% of contract value) callable on default.</w:t>
      </w:r>
    </w:p>
    <w:p>
      <w:pPr>
        <w:pStyle w:val="ListParagraph"/>
        <w:numPr>
          <w:ilvl w:val="0"/>
          <w:numId w:val="2"/>
        </w:numPr>
        <w:spacing w:after="60"/>
      </w:pPr>
      <w:r>
        <w:rPr>
          <w:rFonts w:ascii="Arial" w:cs="Arial" w:eastAsia="Arial" w:hAnsi="Arial"/>
          <w:sz w:val="22"/>
          <w:szCs w:val="22"/>
        </w:rPr>
        <w:t xml:space="preserve">Retention (5–10%) held until DLP expiry.</w:t>
      </w:r>
    </w:p>
    <w:p>
      <w:pPr>
        <w:pStyle w:val="ListParagraph"/>
        <w:numPr>
          <w:ilvl w:val="0"/>
          <w:numId w:val="2"/>
        </w:numPr>
        <w:spacing w:after="60"/>
      </w:pPr>
      <w:r>
        <w:rPr>
          <w:rFonts w:ascii="Arial" w:cs="Arial" w:eastAsia="Arial" w:hAnsi="Arial"/>
          <w:sz w:val="22"/>
          <w:szCs w:val="22"/>
        </w:rPr>
        <w:t xml:space="preserve">Two-strikes-and-out rule for vendor scorecard &lt;70.</w:t>
      </w:r>
    </w:p>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Vendor Penalty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Performance Tier</w:t>
            </w:r>
          </w:p>
        </w:tc>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Criteria</w:t>
            </w:r>
          </w:p>
        </w:tc>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Action</w:t>
            </w:r>
          </w:p>
        </w:tc>
        <w:tc>
          <w:tcPr>
            <w:tcW w:type="dxa" w:w="21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Approver</w:t>
            </w:r>
          </w:p>
        </w:tc>
      </w:tr>
      <w:tr>
        <w:tc>
          <w:tcPr>
            <w:tcW w:type="dxa" w:w="2400"/>
            <w:tcBorders>
              <w:top w:val="single" w:color="B4C7E7" w:sz="4"/>
              <w:left w:val="single" w:color="B4C7E7" w:sz="4"/>
              <w:bottom w:val="single" w:color="B4C7E7" w:sz="4"/>
              <w:right w:val="single" w:color="B4C7E7" w:sz="4"/>
            </w:tcBorders>
            <w:shd w:fill="548235" w:val="clear"/>
            <w:tcMar>
              <w:top w:type="dxa" w:w="80"/>
              <w:left w:type="dxa" w:w="120"/>
              <w:bottom w:type="dxa" w:w="80"/>
              <w:right w:type="dxa" w:w="120"/>
            </w:tcMar>
            <w:vAlign w:val="top"/>
          </w:tcPr>
          <w:p>
            <w:r>
              <w:rPr>
                <w:rFonts w:ascii="Arial" w:cs="Arial" w:eastAsia="Arial" w:hAnsi="Arial"/>
                <w:b/>
                <w:bCs/>
                <w:color w:val="FFFFFF"/>
                <w:sz w:val="20"/>
                <w:szCs w:val="20"/>
              </w:rPr>
              <w:t xml:space="preserve">GREEN</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≥90% on-time, zero safety incidents</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Preferred status; priority on new POs</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Procurement Mgr</w:t>
            </w:r>
          </w:p>
        </w:tc>
      </w:tr>
      <w:tr>
        <w:tc>
          <w:tcPr>
            <w:tcW w:type="dxa" w:w="2400"/>
            <w:tcBorders>
              <w:top w:val="single" w:color="B4C7E7" w:sz="4"/>
              <w:left w:val="single" w:color="B4C7E7" w:sz="4"/>
              <w:bottom w:val="single" w:color="B4C7E7" w:sz="4"/>
              <w:right w:val="single" w:color="B4C7E7" w:sz="4"/>
            </w:tcBorders>
            <w:shd w:fill="ED7D31" w:val="clear"/>
            <w:tcMar>
              <w:top w:type="dxa" w:w="80"/>
              <w:left w:type="dxa" w:w="120"/>
              <w:bottom w:type="dxa" w:w="80"/>
              <w:right w:type="dxa" w:w="120"/>
            </w:tcMar>
            <w:vAlign w:val="top"/>
          </w:tcPr>
          <w:p>
            <w:r>
              <w:rPr>
                <w:rFonts w:ascii="Arial" w:cs="Arial" w:eastAsia="Arial" w:hAnsi="Arial"/>
                <w:b/>
                <w:bCs/>
                <w:color w:val="FFFFFF"/>
                <w:sz w:val="20"/>
                <w:szCs w:val="20"/>
              </w:rPr>
              <w:t xml:space="preserve">AMBER</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70–89% on-time, or minor NCRs</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Probation; weekly performance review</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Procurement Mgr + CME/SAQ Mgr</w:t>
            </w:r>
          </w:p>
        </w:tc>
      </w:tr>
      <w:tr>
        <w:tc>
          <w:tcPr>
            <w:tcW w:type="dxa" w:w="2400"/>
            <w:tcBorders>
              <w:top w:val="single" w:color="B4C7E7" w:sz="4"/>
              <w:left w:val="single" w:color="B4C7E7" w:sz="4"/>
              <w:bottom w:val="single" w:color="B4C7E7" w:sz="4"/>
              <w:right w:val="single" w:color="B4C7E7"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RED</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&lt;70%, or LTI, or repeated AMBER</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Suspension from new bidding; current jobs back-charged + bond callable</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CFO + COO</w:t>
            </w:r>
          </w:p>
        </w:tc>
      </w:tr>
      <w:tr>
        <w:tc>
          <w:tcPr>
            <w:tcW w:type="dxa" w:w="2400"/>
            <w:tcBorders>
              <w:top w:val="single" w:color="B4C7E7" w:sz="4"/>
              <w:left w:val="single" w:color="B4C7E7" w:sz="4"/>
              <w:bottom w:val="single" w:color="B4C7E7" w:sz="4"/>
              <w:right w:val="single" w:color="B4C7E7" w:sz="4"/>
            </w:tcBorders>
            <w:shd w:fill="000000" w:val="clear"/>
            <w:tcMar>
              <w:top w:type="dxa" w:w="80"/>
              <w:left w:type="dxa" w:w="120"/>
              <w:bottom w:type="dxa" w:w="80"/>
              <w:right w:type="dxa" w:w="120"/>
            </w:tcMar>
            <w:vAlign w:val="top"/>
          </w:tcPr>
          <w:p>
            <w:r>
              <w:rPr>
                <w:rFonts w:ascii="Arial" w:cs="Arial" w:eastAsia="Arial" w:hAnsi="Arial"/>
                <w:b/>
                <w:bCs/>
                <w:color w:val="FFFFFF"/>
                <w:sz w:val="20"/>
                <w:szCs w:val="20"/>
              </w:rPr>
              <w:t xml:space="preserve">BLACKLIST</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Fatality, fraud, or two consecutive RED quarters</w:t>
            </w:r>
          </w:p>
        </w:tc>
        <w:tc>
          <w:tcPr>
            <w:tcW w:type="dxa" w:w="24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Permanent disqualification; legal action</w:t>
            </w:r>
          </w:p>
        </w:tc>
        <w:tc>
          <w:tcPr>
            <w:tcW w:type="dxa" w:w="2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ManCom</w:t>
            </w:r>
          </w:p>
        </w:tc>
      </w:tr>
    </w:tbl>
    <w:p>
      <w:pPr>
        <w:spacing w:after="120" w:before="0"/>
      </w:pPr>
      <w:r>
        <w:rPr>
          <w:rFonts w:ascii="Arial" w:cs="Arial" w:eastAsia="Arial" w:hAnsi="Arial"/>
        </w:rPr>
        <w:t xml:space="preserve"/>
      </w:r>
    </w:p>
    <w:p>
      <w:pPr>
        <w:pStyle w:val="Heading3"/>
        <w:spacing w:after="120" w:before="180"/>
      </w:pPr>
      <w:r>
        <w:rPr>
          <w:rFonts w:ascii="Arial" w:cs="Arial" w:eastAsia="Arial" w:hAnsi="Arial"/>
        </w:rPr>
        <w:t xml:space="preserve">Back-Charging Process</w:t>
      </w:r>
    </w:p>
    <w:p>
      <w:pPr>
        <w:pStyle w:val="ListParagraph"/>
        <w:numPr>
          <w:ilvl w:val="0"/>
          <w:numId w:val="3"/>
        </w:numPr>
        <w:spacing w:after="60"/>
      </w:pPr>
      <w:r>
        <w:rPr>
          <w:rFonts w:ascii="Arial" w:cs="Arial" w:eastAsia="Arial" w:hAnsi="Arial"/>
          <w:sz w:val="22"/>
          <w:szCs w:val="22"/>
        </w:rPr>
        <w:t xml:space="preserve">Project Engineer documents vendor cause-and-effect in Daily Report + Risk Tracker entry.</w:t>
      </w:r>
    </w:p>
    <w:p>
      <w:pPr>
        <w:pStyle w:val="ListParagraph"/>
        <w:numPr>
          <w:ilvl w:val="0"/>
          <w:numId w:val="3"/>
        </w:numPr>
        <w:spacing w:after="60"/>
      </w:pPr>
      <w:r>
        <w:rPr>
          <w:rFonts w:ascii="Arial" w:cs="Arial" w:eastAsia="Arial" w:hAnsi="Arial"/>
          <w:sz w:val="22"/>
          <w:szCs w:val="22"/>
        </w:rPr>
        <w:t xml:space="preserve">CME/SAQ Mgr reviews; if vendor liability confirmed, Back-Charge Notice issued within 5 working days.</w:t>
      </w:r>
    </w:p>
    <w:p>
      <w:pPr>
        <w:pStyle w:val="ListParagraph"/>
        <w:numPr>
          <w:ilvl w:val="0"/>
          <w:numId w:val="3"/>
        </w:numPr>
        <w:spacing w:after="60"/>
      </w:pPr>
      <w:r>
        <w:rPr>
          <w:rFonts w:ascii="Arial" w:cs="Arial" w:eastAsia="Arial" w:hAnsi="Arial"/>
          <w:sz w:val="22"/>
          <w:szCs w:val="22"/>
        </w:rPr>
        <w:t xml:space="preserve">Vendor has 10 working days to dispute. Disputed items go to Procurement-led mediation; unresolved within 20 working days escalate to Legal.</w:t>
      </w:r>
    </w:p>
    <w:p>
      <w:pPr>
        <w:pStyle w:val="ListParagraph"/>
        <w:numPr>
          <w:ilvl w:val="0"/>
          <w:numId w:val="3"/>
        </w:numPr>
        <w:spacing w:after="60"/>
      </w:pPr>
      <w:r>
        <w:rPr>
          <w:rFonts w:ascii="Arial" w:cs="Arial" w:eastAsia="Arial" w:hAnsi="Arial"/>
          <w:sz w:val="22"/>
          <w:szCs w:val="22"/>
        </w:rPr>
        <w:t xml:space="preserve">Approved back-charges deducted from next payment OR drawn from retention/bond.</w:t>
      </w:r>
    </w:p>
    <w:p>
      <w:pPr>
        <w:pStyle w:val="ListParagraph"/>
        <w:numPr>
          <w:ilvl w:val="0"/>
          <w:numId w:val="3"/>
        </w:numPr>
        <w:spacing w:after="60"/>
      </w:pPr>
      <w:r>
        <w:rPr>
          <w:rFonts w:ascii="Arial" w:cs="Arial" w:eastAsia="Arial" w:hAnsi="Arial"/>
          <w:sz w:val="22"/>
          <w:szCs w:val="22"/>
        </w:rPr>
        <w:t xml:space="preserve">Cumulative back-charges feed vendor scorecard and tier classification.</w:t>
      </w:r>
    </w:p>
    <w:p>
      <w:pPr>
        <w:pStyle w:val="Heading1"/>
        <w:pageBreakBefore/>
        <w:spacing w:after="240" w:before="240"/>
      </w:pPr>
      <w:r>
        <w:rPr>
          <w:rFonts w:ascii="Arial" w:cs="Arial" w:eastAsia="Arial" w:hAnsi="Arial"/>
        </w:rPr>
        <w:t xml:space="preserve">9. Appendices</w:t>
      </w:r>
    </w:p>
    <w:p>
      <w:pPr>
        <w:pStyle w:val="Heading2"/>
        <w:spacing w:after="180" w:before="240"/>
      </w:pPr>
      <w:r>
        <w:rPr>
          <w:rFonts w:ascii="Arial" w:cs="Arial" w:eastAsia="Arial" w:hAnsi="Arial"/>
        </w:rPr>
        <w:t xml:space="preserve">9.1 Document Cross-Reference — MLA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MLA Reference</w:t>
            </w:r>
          </w:p>
        </w:tc>
        <w:tc>
          <w:tcPr>
            <w:tcW w:type="dxa" w:w="69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Operational Hook in This Playbook</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Definition — Delivery Period</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§1.2 (120 / 85 / 30 days)</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3.1(a) — Responsibility Matrix (Sched 4 Part A)</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§4.7 VO Matrix (work outside this matrix = VO)</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3.1(b) — Variation Orders</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§4.7 VO Approval Matrix</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3.1(c) — Delay Extension Request</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§2.7 PSH Policy; §6.4 Template A</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3.2(c) — Site Candidate within Search Ring</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§2.2 Site Hunting Checklist</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3.2(d) — SR Revision / Withdrawal</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§2.7 PSH Workflow Step 5</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3.2(e) — Operator 5+10 WD acceptance window</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§1.4 Master Timeline D12–D20</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3.2(f) — TSSR Approval + DDD Checklist (Sched 4 Part G)</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§3.3 DDD Validation</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3.2(j) — RTB Site 85-day Delivery Period</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§1.2 SLA Table</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3.3 — Colocation Site Workflow</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§1.2 SLA Table (30 days from Site License)</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3.5(a) — RFI Certificate (Sched 4 Part F)</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§4.6 RFTI Turnover</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3.5(b) — Disagreement Notice (10 WD)</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§4.6 Pre-empt Triggers</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3.5(d) — Dispute over RFI Checklist</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§6.2 Issue Mapping</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3.5(e) — Site Commencement Date</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§8.2 Gate 5</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3.6(a) — Liquidated Damages on Failure to Complete</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§1.2 Penalty Callout</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7 — Set-off on LDs</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§1.2 Penalty Callout</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20 — Dispute Resolution</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§6.2 escalation L4</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Cl. 27 — Force Majeure</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§6.4 Template B</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A — Responsibility Matrix</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Reference for VO determination</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B — Specifications</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§3.4 BOQ Validation; §4.4 Power requirements</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C — Application for Proposed Work</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§4.7 VO Tier 3 documentation</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D — Site Candidate List / TSSR</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§2.3 TSSR Checklist</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F — RFI Certificate</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§4.6 RFTI Submission Pack</w:t>
            </w:r>
          </w:p>
        </w:tc>
      </w:tr>
      <w:tr>
        <w:tc>
          <w:tcPr>
            <w:tcW w:type="dxa" w:w="24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Schedule 4 Part G — DDD Checklist</w:t>
            </w:r>
          </w:p>
        </w:tc>
        <w:tc>
          <w:tcPr>
            <w:tcW w:type="dxa" w:w="69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§3.3 DDD Validation</w:t>
            </w:r>
          </w:p>
        </w:tc>
      </w:tr>
    </w:tbl>
    <w:p>
      <w:pPr>
        <w:pStyle w:val="Heading2"/>
        <w:spacing w:after="180" w:before="240"/>
      </w:pPr>
      <w:r>
        <w:rPr>
          <w:rFonts w:ascii="Arial" w:cs="Arial" w:eastAsia="Arial" w:hAnsi="Arial"/>
        </w:rPr>
        <w:t xml:space="preserve">9.2 RA 12234 (Konektadong Pinoy Act, 2025) — Key Sections for TowerCo</w:t>
      </w:r>
    </w:p>
    <w:p>
      <w:pPr>
        <w:pStyle w:val="ListParagraph"/>
        <w:numPr>
          <w:ilvl w:val="0"/>
          <w:numId w:val="2"/>
        </w:numPr>
        <w:spacing w:after="60"/>
      </w:pPr>
      <w:r>
        <w:rPr>
          <w:rFonts w:ascii="Arial" w:cs="Arial" w:eastAsia="Arial" w:hAnsi="Arial"/>
          <w:sz w:val="22"/>
          <w:szCs w:val="22"/>
        </w:rPr>
        <w:t xml:space="preserve">§2 Declaration of Policy — open-access mandate + infrastructure sharing policy supports colocation business model.</w:t>
      </w:r>
    </w:p>
    <w:p>
      <w:pPr>
        <w:pStyle w:val="ListParagraph"/>
        <w:numPr>
          <w:ilvl w:val="0"/>
          <w:numId w:val="2"/>
        </w:numPr>
        <w:spacing w:after="60"/>
      </w:pPr>
      <w:r>
        <w:rPr>
          <w:rFonts w:ascii="Arial" w:cs="Arial" w:eastAsia="Arial" w:hAnsi="Arial"/>
          <w:sz w:val="22"/>
          <w:szCs w:val="22"/>
        </w:rPr>
        <w:t xml:space="preserve">§3(k)(q) Digital Infrastructure / Passive Infrastructure — towers are explicitly within scope.</w:t>
      </w:r>
    </w:p>
    <w:p>
      <w:pPr>
        <w:pStyle w:val="ListParagraph"/>
        <w:numPr>
          <w:ilvl w:val="0"/>
          <w:numId w:val="2"/>
        </w:numPr>
        <w:spacing w:after="60"/>
      </w:pPr>
      <w:r>
        <w:rPr>
          <w:rFonts w:ascii="Arial" w:cs="Arial" w:eastAsia="Arial" w:hAnsi="Arial"/>
          <w:sz w:val="22"/>
          <w:szCs w:val="22"/>
        </w:rPr>
        <w:t xml:space="preserve">§3(j) Dig Once Policy — coordinated trenching with other DTIPs reduces costs and accelerates rollouts.</w:t>
      </w:r>
    </w:p>
    <w:p>
      <w:pPr>
        <w:pStyle w:val="ListParagraph"/>
        <w:numPr>
          <w:ilvl w:val="0"/>
          <w:numId w:val="2"/>
        </w:numPr>
        <w:spacing w:after="60"/>
      </w:pPr>
      <w:r>
        <w:rPr>
          <w:rFonts w:ascii="Arial" w:cs="Arial" w:eastAsia="Arial" w:hAnsi="Arial"/>
          <w:sz w:val="22"/>
          <w:szCs w:val="22"/>
        </w:rPr>
        <w:t xml:space="preserve">§6(f) DICT to coordinate with LGUs and BOI/PEZA/FIRB for incentives — cite when LGU stonewalls.</w:t>
      </w:r>
    </w:p>
    <w:p>
      <w:pPr>
        <w:pStyle w:val="ListParagraph"/>
        <w:numPr>
          <w:ilvl w:val="0"/>
          <w:numId w:val="2"/>
        </w:numPr>
        <w:spacing w:after="60"/>
      </w:pPr>
      <w:r>
        <w:rPr>
          <w:rFonts w:ascii="Arial" w:cs="Arial" w:eastAsia="Arial" w:hAnsi="Arial"/>
          <w:sz w:val="22"/>
          <w:szCs w:val="22"/>
        </w:rPr>
        <w:t xml:space="preserve">§6(h) DICT to prioritize unserved/underserved areas and educational institutions — leverage for HTA government partnerships.</w:t>
      </w:r>
    </w:p>
    <w:p>
      <w:pPr>
        <w:pStyle w:val="ListParagraph"/>
        <w:numPr>
          <w:ilvl w:val="0"/>
          <w:numId w:val="2"/>
        </w:numPr>
        <w:spacing w:after="60"/>
      </w:pPr>
      <w:r>
        <w:rPr>
          <w:rFonts w:ascii="Arial" w:cs="Arial" w:eastAsia="Arial" w:hAnsi="Arial"/>
          <w:sz w:val="22"/>
          <w:szCs w:val="22"/>
        </w:rPr>
        <w:t xml:space="preserve">§7 NTC as principal regulator — registration / DTIP status / spectrum oversight.</w:t>
      </w:r>
    </w:p>
    <w:p>
      <w:pPr>
        <w:pStyle w:val="ListParagraph"/>
        <w:numPr>
          <w:ilvl w:val="0"/>
          <w:numId w:val="2"/>
        </w:numPr>
        <w:spacing w:after="60"/>
      </w:pPr>
      <w:r>
        <w:rPr>
          <w:rFonts w:ascii="Arial" w:cs="Arial" w:eastAsia="Arial" w:hAnsi="Arial"/>
          <w:sz w:val="22"/>
          <w:szCs w:val="22"/>
        </w:rPr>
        <w:t xml:space="preserve">§8 Registration of DTIPs and access providers — TowerCo registration pathway.</w:t>
      </w:r>
    </w:p>
    <w:p>
      <w:pPr>
        <w:pStyle w:val="Heading2"/>
        <w:spacing w:after="180" w:before="240"/>
      </w:pPr>
      <w:r>
        <w:rPr>
          <w:rFonts w:ascii="Arial" w:cs="Arial" w:eastAsia="Arial" w:hAnsi="Arial"/>
        </w:rPr>
        <w:t xml:space="preserve">9.3 Standard SLA Cycle-Time Targets</w:t>
      </w:r>
    </w:p>
    <w:p>
      <w:pPr>
        <w:spacing w:after="80" w:before="0"/>
      </w:pPr>
      <w:r>
        <w:rPr>
          <w:rFonts w:ascii="Arial" w:cs="Arial" w:eastAsia="Arial" w:hAnsi="Arial"/>
          <w:i/>
          <w:iCs/>
        </w:rPr>
        <w:t xml:space="preserve">These are the internal day budgets that, when followed, deliver 120-day overall SLA. Variances are tracked per phase per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460"/>
      </w:tblGrid>
      <w:tr>
        <w:tc>
          <w:tcPr>
            <w:tcW w:type="dxa" w:w="33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Phase</w:t>
            </w:r>
          </w:p>
        </w:tc>
        <w:tc>
          <w:tcPr>
            <w:tcW w:type="dxa" w:w="16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Target Days</w:t>
            </w:r>
          </w:p>
        </w:tc>
        <w:tc>
          <w:tcPr>
            <w:tcW w:type="dxa" w:w="4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Notes</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Endorsement → Site Hunting Start</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Same-day enrollment + planning</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Hunting (3 candidates)</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7</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 MLA Cl. 3.2(c) 2 weeks–1 month max</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Pre-assessment Approval</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2</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SAQ Lead review</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TSSR Creation + Internal Review</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2</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Engineering desktop + signing</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TSSR Submission → MNO Approval</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9</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5 WD + 10 WD extension</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MOC Securing</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8</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Property docs, lessor sign</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COL + Social Acceptability</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8</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Neighbors, HOA, Brgy</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Pre-Construction Works</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7</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SBT, SI, lot seg, traverse, CSHP</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DDD</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5</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Detailed Design Drawings</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BOQ</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2</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Quantity surveying + pricing</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Permit Requirement Prep</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Sign-and-seal + forms</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Locational/Zoning Clearance</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14</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LGU dependency — Risk Build gate here</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Building Permit Application</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14</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LGU dependency — RTB Declaration</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SKOM / Mobilization</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Kick-off meeting + mobilization</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Construction Phase</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44</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Civil works + tower erection + fit-out</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Energization</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15</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Commercial power + DC install</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RFTI Submission</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7</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RFI Cert + as-builts</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License</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7</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MNO acceptance + execution</w:t>
            </w:r>
          </w:p>
        </w:tc>
      </w:tr>
      <w:tr>
        <w:tc>
          <w:tcPr>
            <w:tcW w:type="dxa" w:w="33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Billing</w:t>
            </w:r>
          </w:p>
        </w:tc>
        <w:tc>
          <w:tcPr>
            <w:tcW w:type="dxa" w:w="160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pPr>
              <w:jc w:val="center"/>
            </w:pPr>
            <w:r>
              <w:rPr>
                <w:rFonts w:ascii="Arial" w:cs="Arial" w:eastAsia="Arial" w:hAnsi="Arial"/>
                <w:sz w:val="20"/>
                <w:szCs w:val="20"/>
              </w:rPr>
              <w:t xml:space="preserve">2</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First invoice triggered</w:t>
            </w:r>
          </w:p>
        </w:tc>
      </w:tr>
      <w:tr>
        <w:tc>
          <w:tcPr>
            <w:tcW w:type="dxa" w:w="33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TOTAL — Endorsement to Billing</w:t>
            </w:r>
          </w:p>
        </w:tc>
        <w:tc>
          <w:tcPr>
            <w:tcW w:type="dxa" w:w="16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155</w:t>
            </w:r>
          </w:p>
        </w:tc>
        <w:tc>
          <w:tcPr>
            <w:tcW w:type="dxa" w:w="44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r>
              <w:rPr>
                <w:rFonts w:ascii="Arial" w:cs="Arial" w:eastAsia="Arial" w:hAnsi="Arial"/>
                <w:b/>
                <w:bCs/>
                <w:color w:val="FFFFFF"/>
                <w:sz w:val="20"/>
                <w:szCs w:val="20"/>
              </w:rPr>
              <w:t xml:space="preserve">Inclusive of pre-TSSR; MLA Delivery Period (120d) runs from TSSR Approval</w:t>
            </w:r>
          </w:p>
        </w:tc>
      </w:tr>
    </w:tbl>
    <w:p>
      <w:pPr>
        <w:pStyle w:val="Heading2"/>
        <w:spacing w:after="180" w:before="240"/>
      </w:pPr>
      <w:r>
        <w:rPr>
          <w:rFonts w:ascii="Arial" w:cs="Arial" w:eastAsia="Arial" w:hAnsi="Arial"/>
        </w:rPr>
        <w:t xml:space="preserve">9.4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Acronym</w:t>
            </w:r>
          </w:p>
        </w:tc>
        <w:tc>
          <w:tcPr>
            <w:tcW w:type="dxa" w:w="7160"/>
            <w:tcBorders>
              <w:top w:val="single" w:color="B4C7E7" w:sz="4"/>
              <w:left w:val="single" w:color="B4C7E7" w:sz="4"/>
              <w:bottom w:val="single" w:color="B4C7E7" w:sz="4"/>
              <w:right w:val="single" w:color="B4C7E7" w:sz="4"/>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Definition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BFP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Bureau of Fire Protection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BOI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Board of Investments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BOQ</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Bill of Quantities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Building Permit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BTS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Build-to-Suit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CAAP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Civil Aviation Authority of the Philippines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CFEI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Certificate of Final Electrical Inspection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CME</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Civil, Mechanical, Electrical (construction discipline)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COL</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Contract of Lease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CSHP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Construction Safety and Health Program</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DDD</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Detailed Design Drawing</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DENR ECC / CNC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Environmental Compliance Certificate / Cert. of Non-Coverage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DICT</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Department of Information and Communications Technology</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DLP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Defect Liability Period</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DTIP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Data Transmission Industry Participant (per RA 12234)</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eLAS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Electronic Lease Approval Sheet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FM</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Force Majeure (or Facilities Management, context-dependent)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HOA</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Homeowners' Association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HTA</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Hard-to-Acquire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LD</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Liquidated Damages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LTI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Lost-Time Injury</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MERALCO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Manila Electric Company</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MLA</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Master Lease Agreement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MNO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Mobile Network Operator</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MOC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Memorandum of Contract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NCIP / FPIC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National Commission on Indigenous Peoples / Free Prior Informed Consent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NCR</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National Capital Region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NHCP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National Historical Commission of the Philippines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NSCP</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National Structural Code of the Philippines</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NTC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National Telecommunications Commission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OBO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Office of the Building Official (LGU)</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PEC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Philippine Electrical Code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PMO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Project Management Office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PSH</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Problematic Site Handling</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RFI / RFTI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Ready for Installation / Ready for Telecom Installation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RGS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Revenue Generating Site</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ROW</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Right of Way</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RTB</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Ready-to-Build</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SAQ</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Acquisition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SBT / SI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Soil Boring Test / Structural Investigation</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SKOM</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Site Kick-Off Meeting</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SLA</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Service Level Agreement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SR</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Search Ring</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SSOT</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Single Source of Truth</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TCO ID</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Tower Co Identifier (internal site ID)</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TSSR</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Technical Site Survey Report</w:t>
            </w:r>
          </w:p>
        </w:tc>
      </w:tr>
      <w:tr>
        <w:tc>
          <w:tcPr>
            <w:tcW w:type="dxa" w:w="2200"/>
            <w:tcBorders>
              <w:top w:val="single" w:color="B4C7E7" w:sz="4"/>
              <w:left w:val="single" w:color="B4C7E7" w:sz="4"/>
              <w:bottom w:val="single" w:color="B4C7E7" w:sz="4"/>
              <w:right w:val="single" w:color="B4C7E7" w:sz="4"/>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vAlign w:val="top"/>
          </w:tcPr>
          <w:p>
            <w:r>
              <w:rPr>
                <w:rFonts w:ascii="Arial" w:cs="Arial" w:eastAsia="Arial" w:hAnsi="Arial"/>
                <w:sz w:val="20"/>
                <w:szCs w:val="20"/>
              </w:rPr>
              <w:t xml:space="preserve">Variation Order</w:t>
            </w:r>
          </w:p>
        </w:tc>
      </w:tr>
    </w:tbl>
    <w:p>
      <w:pPr>
        <w:spacing w:after="120" w:before="360"/>
      </w:pPr>
      <w:r>
        <w:rPr>
          <w:rFonts w:ascii="Arial" w:cs="Arial" w:eastAsia="Arial" w:hAnsi="Arial"/>
        </w:rPr>
        <w:t xml:space="preserve"/>
      </w:r>
    </w:p>
    <w:p>
      <w:pPr>
        <w:spacing w:after="120" w:before="0"/>
        <w:jc w:val="center"/>
      </w:pPr>
      <w:r>
        <w:rPr>
          <w:rFonts w:ascii="Arial" w:cs="Arial" w:eastAsia="Arial" w:hAnsi="Arial"/>
          <w:b/>
          <w:bCs/>
          <w:color w:val="1F3864"/>
          <w:sz w:val="24"/>
          <w:szCs w:val="24"/>
        </w:rPr>
        <w:t xml:space="preserve">END OF PLAYBOOK — Version 1.0</w:t>
      </w:r>
    </w:p>
    <w:p>
      <w:pPr>
        <w:spacing w:after="120" w:before="0"/>
        <w:jc w:val="center"/>
      </w:pPr>
      <w:r>
        <w:rPr>
          <w:rFonts w:ascii="Arial" w:cs="Arial" w:eastAsia="Arial" w:hAnsi="Arial"/>
          <w:i/>
          <w:iCs/>
          <w:color w:val="595959"/>
          <w:sz w:val="18"/>
          <w:szCs w:val="18"/>
        </w:rPr>
        <w:t xml:space="preserve">This Playbook is a living document. Owner: PMO. Review cadence: quarterly. Material changes require ManCom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CONFIDENTIAL  —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i/>
        <w:iCs/>
        <w:color w:val="595959"/>
        <w:sz w:val="18"/>
        <w:szCs w:val="18"/>
      </w:rPr>
      <w:t xml:space="preserve">TowerCo Rollout Playbook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TowerCo Rollout Playbook v1.0</dc:title>
  <dc:creator>TowerCo PMO</dc:creator>
  <dc:description>Operational manual for BTS, Colocation, and RTB site rollouts</dc:description>
  <cp:lastModifiedBy>Un-named</cp:lastModifiedBy>
  <cp:revision>1</cp:revision>
  <dcterms:created xsi:type="dcterms:W3CDTF">2026-05-13T03:11:39.854Z</dcterms:created>
  <dcterms:modified xsi:type="dcterms:W3CDTF">2026-05-13T03:11:39.855Z</dcterms:modified>
</cp:coreProperties>
</file>

<file path=docProps/custom.xml><?xml version="1.0" encoding="utf-8"?>
<Properties xmlns="http://schemas.openxmlformats.org/officeDocument/2006/custom-properties" xmlns:vt="http://schemas.openxmlformats.org/officeDocument/2006/docPropsVTypes"/>
</file>