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Modèle de dispatch européen</w:t>
      </w:r>
    </w:p>
    <w:p>
      <w:pPr>
        <w:pStyle w:val="Subtitle"/>
      </w:pPr>
      <w:r>
        <w:t xml:space="preserve">Hypothèses de modélisation et contraintes d’exploitation — étape (vi), formation des prix spot horaires zonaux</w:t>
      </w:r>
    </w:p>
    <w:p>
      <w:pPr>
        <w:pStyle w:val="Date"/>
      </w:pPr>
      <w:r>
        <w:t xml:space="preserve">Août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bjet"/>
    <w:p>
      <w:pPr>
        <w:pStyle w:val="Heading1"/>
      </w:pPr>
      <w:r>
        <w:t xml:space="preserve">Objet</w:t>
      </w:r>
    </w:p>
    <w:p>
      <w:pPr>
        <w:pStyle w:val="FirstParagraph"/>
      </w:pPr>
      <w:r>
        <w:t xml:space="preserve">Ce document décrit les hypothèses retenues pour produire les prix spot horaires zonaux : le périmètre, la formulation du programme linéaire, les données d’entrée, les coûts, et le détail des rigidités d’exploitation.</w:t>
      </w:r>
      <w:r>
        <w:t xml:space="preserve"> </w:t>
      </w:r>
      <w:r>
        <w:rPr>
          <w:b/>
          <w:bCs/>
        </w:rPr>
        <w:t xml:space="preserve">La section 7 définit une à une les variables du module de flexibilité nucléaire.</w:t>
      </w:r>
    </w:p>
    <w:p>
      <w:r>
        <w:pict>
          <v:rect style="width:0;height:1.5pt" o:hralign="center" o:hrstd="t" o:hr="t"/>
        </w:pict>
      </w:r>
    </w:p>
    <w:bookmarkEnd w:id="20"/>
    <w:bookmarkStart w:id="23" w:name="périmètre-et-principe"/>
    <w:p>
      <w:pPr>
        <w:pStyle w:val="Heading1"/>
      </w:pPr>
      <w:r>
        <w:t xml:space="preserve">1. Périmètre et principe</w:t>
      </w:r>
    </w:p>
    <w:p>
      <w:pPr>
        <w:pStyle w:val="FirstParagraph"/>
      </w:pPr>
      <w:r>
        <w:t xml:space="preserve">Le modèle simule le dispatch économique d’un parc européen interconnecté et en déduit les prix horaires zonaux.</w:t>
      </w:r>
      <w:r>
        <w:t xml:space="preserve"> </w:t>
      </w:r>
      <w:r>
        <w:rPr>
          <w:b/>
          <w:bCs/>
        </w:rPr>
        <w:t xml:space="preserve">Le prix d’une zone est le dual de sa contrainte d’équilibre offre-demande</w:t>
      </w:r>
      <w:r>
        <w:t xml:space="preserve"> </w:t>
      </w:r>
      <w:r>
        <w:t xml:space="preserve">: il n’est pas postulé, il résulte de l’optimisation.</w:t>
      </w:r>
    </w:p>
    <w:p>
      <w:pPr>
        <w:pStyle w:val="BodyText"/>
      </w:pPr>
      <w:r>
        <w:t xml:space="preserve">La sortie native est un coût marginal système (SMC). Une étape (vii) distincte applique une prime calibrée pour passer du SMC au prix spot observé ; les chiffres cités ici sont au niveau SMC.</w:t>
      </w:r>
    </w:p>
    <w:bookmarkStart w:id="21" w:name="zones"/>
    <w:p>
      <w:pPr>
        <w:pStyle w:val="Heading2"/>
      </w:pPr>
      <w:r>
        <w:t xml:space="preserve">Zones</w:t>
      </w:r>
    </w:p>
    <w:p>
      <w:pPr>
        <w:pStyle w:val="FirstParagraph"/>
      </w:pPr>
      <w:r>
        <w:t xml:space="preserve">Treize zones : FR, DE-LU, BE, GB, CH, IT-Nord, IT-Sud, ES, PT, NL, DK, PL-CZ, AT-SI.</w:t>
      </w:r>
    </w:p>
    <w:p>
      <w:pPr>
        <w:pStyle w:val="Compact"/>
        <w:numPr>
          <w:ilvl w:val="0"/>
          <w:numId w:val="1001"/>
        </w:numPr>
      </w:pPr>
      <w:r>
        <w:t xml:space="preserve">La France est résolue</w:t>
      </w:r>
      <w:r>
        <w:t xml:space="preserve"> </w:t>
      </w:r>
      <w:r>
        <w:rPr>
          <w:b/>
          <w:bCs/>
        </w:rPr>
        <w:t xml:space="preserve">tranche par tranche</w:t>
      </w:r>
      <w:r>
        <w:t xml:space="preserve"> </w:t>
      </w:r>
      <w:r>
        <w:t xml:space="preserve">(parc réel, réacteur par réacteur).</w:t>
      </w:r>
    </w:p>
    <w:p>
      <w:pPr>
        <w:pStyle w:val="Compact"/>
        <w:numPr>
          <w:ilvl w:val="0"/>
          <w:numId w:val="1001"/>
        </w:numPr>
      </w:pPr>
      <w:r>
        <w:t xml:space="preserve">Les autres zones sont agrégées en blocs technologiques, le thermique étant découpé en sous-blocs de rendement pour reconstituer une pente d’ordre de mérite.</w:t>
      </w:r>
    </w:p>
    <w:p>
      <w:pPr>
        <w:pStyle w:val="Compact"/>
        <w:numPr>
          <w:ilvl w:val="0"/>
          <w:numId w:val="1001"/>
        </w:numPr>
      </w:pPr>
      <w:r>
        <w:t xml:space="preserve">PL-CZ, AT-SI et DK sont des zones virtuelles regroupant plusieurs zones de dépôt d’offres.</w:t>
      </w:r>
    </w:p>
    <w:bookmarkEnd w:id="21"/>
    <w:bookmarkStart w:id="22" w:name="découpage-temporel"/>
    <w:p>
      <w:pPr>
        <w:pStyle w:val="Heading2"/>
      </w:pPr>
      <w:r>
        <w:t xml:space="preserve">Découpage temporel</w:t>
      </w:r>
    </w:p>
    <w:p>
      <w:pPr>
        <w:pStyle w:val="FirstParagraph"/>
      </w:pPr>
      <w:r>
        <w:t xml:space="preserve">Résolution par</w:t>
      </w:r>
      <w:r>
        <w:t xml:space="preserve"> </w:t>
      </w:r>
      <w:r>
        <w:rPr>
          <w:b/>
          <w:bCs/>
        </w:rPr>
        <w:t xml:space="preserve">fenêtres hebdomadaires glissantes</w:t>
      </w:r>
      <w:r>
        <w:t xml:space="preserve">, 52 par année simulée.</w:t>
      </w:r>
    </w:p>
    <w:p>
      <w:pPr>
        <w:pStyle w:val="BodyText"/>
      </w:pPr>
      <w:r>
        <w:t xml:space="preserve">Le programme est un</w:t>
      </w:r>
      <w:r>
        <w:t xml:space="preserve"> </w:t>
      </w:r>
      <w:r>
        <w:rPr>
          <w:b/>
          <w:bCs/>
        </w:rPr>
        <w:t xml:space="preserve">LP pur</w:t>
      </w:r>
      <w:r>
        <w:t xml:space="preserve"> </w:t>
      </w:r>
      <w:r>
        <w:t xml:space="preserve">: aucune variable binaire, l’engagement des groupes est relaxé en continu. Ce choix est structurant — il garantit l’existence des duaux, donc des prix, mais il autorise des engagements fractionnaires qu’un modèle en nombres entiers interdirait.</w:t>
      </w:r>
    </w:p>
    <w:p>
      <w:r>
        <w:pict>
          <v:rect style="width:0;height:1.5pt" o:hralign="center" o:hrstd="t" o:hr="t"/>
        </w:pict>
      </w:r>
    </w:p>
    <w:bookmarkEnd w:id="22"/>
    <w:bookmarkEnd w:id="23"/>
    <w:bookmarkStart w:id="25" w:name="formulation-du-programme-linéaire"/>
    <w:p>
      <w:pPr>
        <w:pStyle w:val="Heading1"/>
      </w:pPr>
      <w:r>
        <w:t xml:space="preserve">2. Formulation du programme linéaire</w:t>
      </w:r>
    </w:p>
    <w:p>
      <w:pPr>
        <w:pStyle w:val="FirstParagraph"/>
      </w:pPr>
      <w:r>
        <w:t xml:space="preserve">Pour chaque zone</w:t>
      </w:r>
      <w:r>
        <w:t xml:space="preserve"> </w:t>
      </w:r>
      <w:r>
        <w:rPr>
          <w:i/>
          <w:iCs/>
        </w:rPr>
        <w:t xml:space="preserve">z</w:t>
      </w:r>
      <w:r>
        <w:t xml:space="preserve"> </w:t>
      </w:r>
      <w:r>
        <w:t xml:space="preserve">et chaque heure</w:t>
      </w:r>
      <w:r>
        <w:t xml:space="preserve"> </w:t>
      </w:r>
      <w:r>
        <w:rPr>
          <w:i/>
          <w:iCs/>
        </w:rPr>
        <w:t xml:space="preserve">t</w:t>
      </w:r>
      <w:r>
        <w:t xml:space="preserve"> </w:t>
      </w:r>
      <w:r>
        <w:t xml:space="preserve">:</w:t>
      </w:r>
    </w:p>
    <w:p>
      <w:pPr>
        <w:pStyle w:val="SourceCode"/>
      </w:pPr>
      <w:r>
        <w:rPr>
          <w:rStyle w:val="VerbatimChar"/>
        </w:rPr>
        <w:t xml:space="preserve">Σ gen + res + ens − dump + imports  =  demande        (dual = prix)</w:t>
      </w:r>
      <w:r>
        <w:br/>
      </w:r>
      <w:r>
        <w:rPr>
          <w:rStyle w:val="VerbatimChar"/>
        </w:rPr>
        <w:t xml:space="preserve">0 ≤ flux_aller ≤ NTC(a→b)  ,  0 ≤ flux_retour ≤ NTC(b→a)</w:t>
      </w:r>
      <w:r>
        <w:br/>
      </w:r>
      <w:r>
        <w:rPr>
          <w:rStyle w:val="VerbatimChar"/>
        </w:rPr>
        <w:t xml:space="preserve">gen_min ≤ gen ≤ capacité × disponibilité</w:t>
      </w:r>
    </w:p>
    <w:p>
      <w:pPr>
        <w:pStyle w:val="FirstParagraph"/>
      </w:pPr>
      <w:r>
        <w:t xml:space="preserve">Les flux sont</w:t>
      </w:r>
      <w:r>
        <w:t xml:space="preserve"> </w:t>
      </w:r>
      <w:r>
        <w:rPr>
          <w:b/>
          <w:bCs/>
        </w:rPr>
        <w:t xml:space="preserve">dirigés et non négatifs</w:t>
      </w:r>
      <w:r>
        <w:t xml:space="preserve">, avec un coût infinitésimal sur le flux brut afin d’éliminer les boucles de transit dégénérées (deux flux opposés simultanés de même ampleur).</w:t>
      </w:r>
      <w:r>
        <w:t xml:space="preserve"> </w:t>
      </w:r>
      <w:r>
        <w:rPr>
          <w:rStyle w:val="VerbatimChar"/>
        </w:rPr>
        <w:t xml:space="preserve">ens</w:t>
      </w:r>
      <w:r>
        <w:t xml:space="preserve"> </w:t>
      </w:r>
      <w:r>
        <w:t xml:space="preserve">est l’énergie non servie,</w:t>
      </w:r>
      <w:r>
        <w:t xml:space="preserve"> </w:t>
      </w:r>
      <w:r>
        <w:rPr>
          <w:rStyle w:val="VerbatimChar"/>
        </w:rPr>
        <w:t xml:space="preserve">dump</w:t>
      </w:r>
      <w:r>
        <w:t xml:space="preserve"> </w:t>
      </w:r>
      <w:r>
        <w:t xml:space="preserve">l’écrêtement.</w:t>
      </w:r>
    </w:p>
    <w:bookmarkStart w:id="24" w:name="défaillance-et-effacement"/>
    <w:p>
      <w:pPr>
        <w:pStyle w:val="Heading2"/>
      </w:pPr>
      <w:r>
        <w:t xml:space="preserve">Défaillance et effacement</w:t>
      </w:r>
    </w:p>
    <w:p>
      <w:pPr>
        <w:pStyle w:val="FirstParagraph"/>
      </w:pPr>
      <w:r>
        <w:t xml:space="preserve">Trois tranches escaladent le prix sous le plafond, exprimées en fraction de la pointe de la fenêtre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center"/>
            </w:pPr>
            <w:r>
              <w:t xml:space="preserve">Part de la pointe</w:t>
            </w:r>
          </w:p>
        </w:tc>
        <w:tc>
          <w:tcPr/>
          <w:p>
            <w:pPr>
              <w:pStyle w:val="Compact"/>
              <w:jc w:val="right"/>
            </w:pPr>
            <w:r>
              <w:t xml:space="preserve">Prix (€/MWh)</w:t>
            </w:r>
          </w:p>
        </w:tc>
      </w:tr>
      <w:tr>
        <w:tc>
          <w:tcPr/>
          <w:p>
            <w:pPr>
              <w:pStyle w:val="Compact"/>
              <w:jc w:val="left"/>
            </w:pPr>
            <w:r>
              <w:t xml:space="preserve">Effacement diffus</w:t>
            </w:r>
          </w:p>
        </w:tc>
        <w:tc>
          <w:tcPr/>
          <w:p>
            <w:pPr>
              <w:pStyle w:val="Compact"/>
              <w:jc w:val="center"/>
            </w:pPr>
            <w:r>
              <w:t xml:space="preserve">3 %</w:t>
            </w:r>
          </w:p>
        </w:tc>
        <w:tc>
          <w:tcPr/>
          <w:p>
            <w:pPr>
              <w:pStyle w:val="Compact"/>
              <w:jc w:val="right"/>
            </w:pPr>
            <w:r>
              <w:t xml:space="preserve">300</w:t>
            </w:r>
          </w:p>
        </w:tc>
      </w:tr>
      <w:tr>
        <w:tc>
          <w:tcPr/>
          <w:p>
            <w:pPr>
              <w:pStyle w:val="Compact"/>
              <w:jc w:val="left"/>
            </w:pPr>
            <w:r>
              <w:t xml:space="preserve">Effacement industriel</w:t>
            </w:r>
          </w:p>
        </w:tc>
        <w:tc>
          <w:tcPr/>
          <w:p>
            <w:pPr>
              <w:pStyle w:val="Compact"/>
              <w:jc w:val="center"/>
            </w:pPr>
            <w:r>
              <w:t xml:space="preserve">3 %</w:t>
            </w:r>
          </w:p>
        </w:tc>
        <w:tc>
          <w:tcPr/>
          <w:p>
            <w:pPr>
              <w:pStyle w:val="Compact"/>
              <w:jc w:val="right"/>
            </w:pPr>
            <w:r>
              <w:t xml:space="preserve">1 000</w:t>
            </w:r>
          </w:p>
        </w:tc>
      </w:tr>
      <w:tr>
        <w:tc>
          <w:tcPr/>
          <w:p>
            <w:pPr>
              <w:pStyle w:val="Compact"/>
              <w:jc w:val="left"/>
            </w:pPr>
            <w:r>
              <w:t xml:space="preserve">Pénurie</w:t>
            </w:r>
          </w:p>
        </w:tc>
        <w:tc>
          <w:tcPr/>
          <w:p>
            <w:pPr>
              <w:pStyle w:val="Compact"/>
              <w:jc w:val="center"/>
            </w:pPr>
            <w:r>
              <w:t xml:space="preserve">5 %</w:t>
            </w:r>
          </w:p>
        </w:tc>
        <w:tc>
          <w:tcPr/>
          <w:p>
            <w:pPr>
              <w:pStyle w:val="Compact"/>
              <w:jc w:val="right"/>
            </w:pPr>
            <w:r>
              <w:t xml:space="preserve">4 000</w:t>
            </w:r>
          </w:p>
        </w:tc>
      </w:tr>
      <w:tr>
        <w:tc>
          <w:tcPr/>
          <w:p>
            <w:pPr>
              <w:pStyle w:val="Compact"/>
              <w:jc w:val="left"/>
            </w:pPr>
            <w:r>
              <w:rPr>
                <w:b/>
                <w:bCs/>
              </w:rPr>
              <w:t xml:space="preserve">Plafond (VoLL)</w:t>
            </w:r>
          </w:p>
        </w:tc>
        <w:tc>
          <w:tcPr/>
          <w:p>
            <w:pPr>
              <w:pStyle w:val="Compact"/>
              <w:jc w:val="center"/>
            </w:pPr>
            <w:r>
              <w:t xml:space="preserve">—</w:t>
            </w:r>
          </w:p>
        </w:tc>
        <w:tc>
          <w:tcPr/>
          <w:p>
            <w:pPr>
              <w:pStyle w:val="Compact"/>
              <w:jc w:val="right"/>
            </w:pPr>
            <w:r>
              <w:rPr>
                <w:b/>
                <w:bCs/>
              </w:rPr>
              <w:t xml:space="preserve">15 000</w:t>
            </w:r>
          </w:p>
        </w:tc>
      </w:tr>
    </w:tbl>
    <w:p>
      <w:pPr>
        <w:pStyle w:val="BodyText"/>
      </w:pPr>
      <w:r>
        <w:t xml:space="preserve">Ces tranches absorbent aussi la sous-modélisation résiduelle des pointes, ce qui évite qu’un épisode de froid touche mécaniquement le plafond.</w:t>
      </w:r>
    </w:p>
    <w:p>
      <w:r>
        <w:pict>
          <v:rect style="width:0;height:1.5pt" o:hralign="center" o:hrstd="t" o:hr="t"/>
        </w:pict>
      </w:r>
    </w:p>
    <w:bookmarkEnd w:id="24"/>
    <w:bookmarkEnd w:id="25"/>
    <w:bookmarkStart w:id="27" w:name="coûts-et-ordre-de-mérite"/>
    <w:p>
      <w:pPr>
        <w:pStyle w:val="Heading1"/>
      </w:pPr>
      <w:r>
        <w:t xml:space="preserve">3. Coûts et ordre de mérite</w:t>
      </w:r>
    </w:p>
    <w:p>
      <w:pPr>
        <w:pStyle w:val="SourceCode"/>
      </w:pPr>
      <w:r>
        <w:rPr>
          <w:rStyle w:val="VerbatimChar"/>
        </w:rPr>
        <w:t xml:space="preserve">SRMC  =  combustible / η  +  (intensité CO₂ / η) × prix EUA  +  VOM</w:t>
      </w:r>
    </w:p>
    <w:p>
      <w:pPr>
        <w:pStyle w:val="FirstParagraph"/>
      </w:pPr>
      <w:r>
        <w:t xml:space="preserve">Les rendements électriques sont tirés d’une plage par technologie ; chaque bloc thermique est réparti sur cette plage pour produire une</w:t>
      </w:r>
      <w:r>
        <w:t xml:space="preserve"> </w:t>
      </w:r>
      <w:r>
        <w:rPr>
          <w:b/>
          <w:bCs/>
        </w:rPr>
        <w:t xml:space="preserve">dispersion</w:t>
      </w:r>
      <w:r>
        <w:t xml:space="preserve"> </w:t>
      </w:r>
      <w:r>
        <w:t xml:space="preserve">de coûts au lieu d’un prix unique.</w:t>
      </w:r>
    </w:p>
    <w:tbl>
      <w:tblPr>
        <w:tblStyle w:val="Table"/>
        <w:tblW w:type="pct" w:w="5000"/>
        <w:tblLayout w:type="fixed"/>
        <w:tblLook w:firstRow="1" w:lastRow="0" w:firstColumn="0" w:lastColumn="0" w:noHBand="0" w:noVBand="0" w:val="0020"/>
      </w:tblPr>
      <w:tblGrid>
        <w:gridCol w:w="2911"/>
        <w:gridCol w:w="1747"/>
        <w:gridCol w:w="1747"/>
        <w:gridCol w:w="1514"/>
      </w:tblGrid>
      <w:tr>
        <w:trPr>
          <w:tblHeader w:val="on"/>
        </w:trPr>
        <w:tc>
          <w:tcPr/>
          <w:p>
            <w:pPr>
              <w:pStyle w:val="Compact"/>
              <w:jc w:val="left"/>
            </w:pPr>
            <w:r>
              <w:t xml:space="preserve">Technologie</w:t>
            </w:r>
          </w:p>
        </w:tc>
        <w:tc>
          <w:tcPr/>
          <w:p>
            <w:pPr>
              <w:pStyle w:val="Compact"/>
              <w:jc w:val="center"/>
            </w:pPr>
            <w:r>
              <w:t xml:space="preserve">Rendement min</w:t>
            </w:r>
          </w:p>
        </w:tc>
        <w:tc>
          <w:tcPr/>
          <w:p>
            <w:pPr>
              <w:pStyle w:val="Compact"/>
              <w:jc w:val="center"/>
            </w:pPr>
            <w:r>
              <w:t xml:space="preserve">Rendement max</w:t>
            </w:r>
          </w:p>
        </w:tc>
        <w:tc>
          <w:tcPr/>
          <w:p>
            <w:pPr>
              <w:pStyle w:val="Compact"/>
              <w:jc w:val="right"/>
            </w:pPr>
            <w:r>
              <w:t xml:space="preserve">VOM (€/MWh)</w:t>
            </w:r>
          </w:p>
        </w:tc>
      </w:tr>
      <w:tr>
        <w:tc>
          <w:tcPr/>
          <w:p>
            <w:pPr>
              <w:pStyle w:val="Compact"/>
              <w:jc w:val="left"/>
            </w:pPr>
            <w:r>
              <w:t xml:space="preserve">CCGT</w:t>
            </w:r>
          </w:p>
        </w:tc>
        <w:tc>
          <w:tcPr/>
          <w:p>
            <w:pPr>
              <w:pStyle w:val="Compact"/>
              <w:jc w:val="center"/>
            </w:pPr>
            <w:r>
              <w:t xml:space="preserve">0,46</w:t>
            </w:r>
          </w:p>
        </w:tc>
        <w:tc>
          <w:tcPr/>
          <w:p>
            <w:pPr>
              <w:pStyle w:val="Compact"/>
              <w:jc w:val="center"/>
            </w:pPr>
            <w:r>
              <w:t xml:space="preserve">0,60</w:t>
            </w:r>
          </w:p>
        </w:tc>
        <w:tc>
          <w:tcPr/>
          <w:p>
            <w:pPr>
              <w:pStyle w:val="Compact"/>
              <w:jc w:val="right"/>
            </w:pPr>
            <w:r>
              <w:t xml:space="preserve">2,5</w:t>
            </w:r>
          </w:p>
        </w:tc>
      </w:tr>
      <w:tr>
        <w:tc>
          <w:tcPr/>
          <w:p>
            <w:pPr>
              <w:pStyle w:val="Compact"/>
              <w:jc w:val="left"/>
            </w:pPr>
            <w:r>
              <w:t xml:space="preserve">Gaz (générique)</w:t>
            </w:r>
          </w:p>
        </w:tc>
        <w:tc>
          <w:tcPr/>
          <w:p>
            <w:pPr>
              <w:pStyle w:val="Compact"/>
              <w:jc w:val="center"/>
            </w:pPr>
            <w:r>
              <w:t xml:space="preserve">0,40</w:t>
            </w:r>
          </w:p>
        </w:tc>
        <w:tc>
          <w:tcPr/>
          <w:p>
            <w:pPr>
              <w:pStyle w:val="Compact"/>
              <w:jc w:val="center"/>
            </w:pPr>
            <w:r>
              <w:t xml:space="preserve">0,58</w:t>
            </w:r>
          </w:p>
        </w:tc>
        <w:tc>
          <w:tcPr/>
          <w:p>
            <w:pPr>
              <w:pStyle w:val="Compact"/>
              <w:jc w:val="right"/>
            </w:pPr>
            <w:r>
              <w:t xml:space="preserve">2,5</w:t>
            </w:r>
          </w:p>
        </w:tc>
      </w:tr>
      <w:tr>
        <w:tc>
          <w:tcPr/>
          <w:p>
            <w:pPr>
              <w:pStyle w:val="Compact"/>
              <w:jc w:val="left"/>
            </w:pPr>
            <w:r>
              <w:t xml:space="preserve">Turbine à combustion</w:t>
            </w:r>
          </w:p>
        </w:tc>
        <w:tc>
          <w:tcPr/>
          <w:p>
            <w:pPr>
              <w:pStyle w:val="Compact"/>
              <w:jc w:val="center"/>
            </w:pPr>
            <w:r>
              <w:t xml:space="preserve">0,34</w:t>
            </w:r>
          </w:p>
        </w:tc>
        <w:tc>
          <w:tcPr/>
          <w:p>
            <w:pPr>
              <w:pStyle w:val="Compact"/>
              <w:jc w:val="center"/>
            </w:pPr>
            <w:r>
              <w:t xml:space="preserve">0,42</w:t>
            </w:r>
          </w:p>
        </w:tc>
        <w:tc>
          <w:tcPr/>
          <w:p>
            <w:pPr>
              <w:pStyle w:val="Compact"/>
              <w:jc w:val="right"/>
            </w:pPr>
            <w:r>
              <w:t xml:space="preserve">3,5</w:t>
            </w:r>
          </w:p>
        </w:tc>
      </w:tr>
      <w:tr>
        <w:tc>
          <w:tcPr/>
          <w:p>
            <w:pPr>
              <w:pStyle w:val="Compact"/>
              <w:jc w:val="left"/>
            </w:pPr>
            <w:r>
              <w:t xml:space="preserve">Charbon</w:t>
            </w:r>
          </w:p>
        </w:tc>
        <w:tc>
          <w:tcPr/>
          <w:p>
            <w:pPr>
              <w:pStyle w:val="Compact"/>
              <w:jc w:val="center"/>
            </w:pPr>
            <w:r>
              <w:t xml:space="preserve">0,36</w:t>
            </w:r>
          </w:p>
        </w:tc>
        <w:tc>
          <w:tcPr/>
          <w:p>
            <w:pPr>
              <w:pStyle w:val="Compact"/>
              <w:jc w:val="center"/>
            </w:pPr>
            <w:r>
              <w:t xml:space="preserve">0,46</w:t>
            </w:r>
          </w:p>
        </w:tc>
        <w:tc>
          <w:tcPr/>
          <w:p>
            <w:pPr>
              <w:pStyle w:val="Compact"/>
              <w:jc w:val="right"/>
            </w:pPr>
            <w:r>
              <w:t xml:space="preserve">3,5</w:t>
            </w:r>
          </w:p>
        </w:tc>
      </w:tr>
      <w:tr>
        <w:tc>
          <w:tcPr/>
          <w:p>
            <w:pPr>
              <w:pStyle w:val="Compact"/>
              <w:jc w:val="left"/>
            </w:pPr>
            <w:r>
              <w:t xml:space="preserve">Lignite</w:t>
            </w:r>
          </w:p>
        </w:tc>
        <w:tc>
          <w:tcPr/>
          <w:p>
            <w:pPr>
              <w:pStyle w:val="Compact"/>
              <w:jc w:val="center"/>
            </w:pPr>
            <w:r>
              <w:t xml:space="preserve">0,35</w:t>
            </w:r>
          </w:p>
        </w:tc>
        <w:tc>
          <w:tcPr/>
          <w:p>
            <w:pPr>
              <w:pStyle w:val="Compact"/>
              <w:jc w:val="center"/>
            </w:pPr>
            <w:r>
              <w:t xml:space="preserve">0,43</w:t>
            </w:r>
          </w:p>
        </w:tc>
        <w:tc>
          <w:tcPr/>
          <w:p>
            <w:pPr>
              <w:pStyle w:val="Compact"/>
              <w:jc w:val="right"/>
            </w:pPr>
            <w:r>
              <w:t xml:space="preserve">3,5</w:t>
            </w:r>
          </w:p>
        </w:tc>
      </w:tr>
      <w:tr>
        <w:tc>
          <w:tcPr/>
          <w:p>
            <w:pPr>
              <w:pStyle w:val="Compact"/>
              <w:jc w:val="left"/>
            </w:pPr>
            <w:r>
              <w:t xml:space="preserve">Fioul</w:t>
            </w:r>
          </w:p>
        </w:tc>
        <w:tc>
          <w:tcPr/>
          <w:p>
            <w:pPr>
              <w:pStyle w:val="Compact"/>
              <w:jc w:val="center"/>
            </w:pPr>
            <w:r>
              <w:t xml:space="preserve">0,30</w:t>
            </w:r>
          </w:p>
        </w:tc>
        <w:tc>
          <w:tcPr/>
          <w:p>
            <w:pPr>
              <w:pStyle w:val="Compact"/>
              <w:jc w:val="center"/>
            </w:pPr>
            <w:r>
              <w:t xml:space="preserve">0,40</w:t>
            </w:r>
          </w:p>
        </w:tc>
        <w:tc>
          <w:tcPr/>
          <w:p>
            <w:pPr>
              <w:pStyle w:val="Compact"/>
              <w:jc w:val="right"/>
            </w:pPr>
            <w:r>
              <w:t xml:space="preserve">4,0</w:t>
            </w:r>
          </w:p>
        </w:tc>
      </w:tr>
      <w:tr>
        <w:tc>
          <w:tcPr/>
          <w:p>
            <w:pPr>
              <w:pStyle w:val="Compact"/>
              <w:jc w:val="left"/>
            </w:pPr>
            <w:r>
              <w:t xml:space="preserve">Biomasse</w:t>
            </w:r>
          </w:p>
        </w:tc>
        <w:tc>
          <w:tcPr/>
          <w:p>
            <w:pPr>
              <w:pStyle w:val="Compact"/>
              <w:jc w:val="center"/>
            </w:pPr>
            <w:r>
              <w:t xml:space="preserve">0,28</w:t>
            </w:r>
          </w:p>
        </w:tc>
        <w:tc>
          <w:tcPr/>
          <w:p>
            <w:pPr>
              <w:pStyle w:val="Compact"/>
              <w:jc w:val="center"/>
            </w:pPr>
            <w:r>
              <w:t xml:space="preserve">0,38</w:t>
            </w:r>
          </w:p>
        </w:tc>
        <w:tc>
          <w:tcPr/>
          <w:p>
            <w:pPr>
              <w:pStyle w:val="Compact"/>
              <w:jc w:val="right"/>
            </w:pPr>
            <w:r>
              <w:t xml:space="preserve">4,0</w:t>
            </w:r>
          </w:p>
        </w:tc>
      </w:tr>
      <w:tr>
        <w:tc>
          <w:tcPr/>
          <w:p>
            <w:pPr>
              <w:pStyle w:val="Compact"/>
              <w:jc w:val="left"/>
            </w:pPr>
            <w:r>
              <w:t xml:space="preserve">Nucléaire</w:t>
            </w:r>
          </w:p>
        </w:tc>
        <w:tc>
          <w:tcPr/>
          <w:p>
            <w:pPr>
              <w:pStyle w:val="Compact"/>
              <w:jc w:val="center"/>
            </w:pPr>
            <w:r>
              <w:t xml:space="preserve">—</w:t>
            </w:r>
          </w:p>
        </w:tc>
        <w:tc>
          <w:tcPr/>
          <w:p>
            <w:pPr>
              <w:pStyle w:val="Compact"/>
              <w:jc w:val="center"/>
            </w:pPr>
            <w:r>
              <w:t xml:space="preserve">—</w:t>
            </w:r>
          </w:p>
        </w:tc>
        <w:tc>
          <w:tcPr/>
          <w:p>
            <w:pPr>
              <w:pStyle w:val="Compact"/>
              <w:jc w:val="right"/>
            </w:pPr>
            <w:r>
              <w:t xml:space="preserve">9,0</w:t>
            </w:r>
          </w:p>
        </w:tc>
      </w:tr>
      <w:tr>
        <w:tc>
          <w:tcPr/>
          <w:p>
            <w:pPr>
              <w:pStyle w:val="Compact"/>
              <w:jc w:val="left"/>
            </w:pPr>
            <w:r>
              <w:t xml:space="preserve">Hydraulique réservoir</w:t>
            </w:r>
          </w:p>
        </w:tc>
        <w:tc>
          <w:tcPr/>
          <w:p>
            <w:pPr>
              <w:pStyle w:val="Compact"/>
              <w:jc w:val="center"/>
            </w:pPr>
            <w:r>
              <w:t xml:space="preserve">—</w:t>
            </w:r>
          </w:p>
        </w:tc>
        <w:tc>
          <w:tcPr/>
          <w:p>
            <w:pPr>
              <w:pStyle w:val="Compact"/>
              <w:jc w:val="center"/>
            </w:pPr>
            <w:r>
              <w:t xml:space="preserve">—</w:t>
            </w:r>
          </w:p>
        </w:tc>
        <w:tc>
          <w:tcPr/>
          <w:p>
            <w:pPr>
              <w:pStyle w:val="Compact"/>
              <w:jc w:val="right"/>
            </w:pPr>
            <w:r>
              <w:t xml:space="preserve">1,0</w:t>
            </w:r>
          </w:p>
        </w:tc>
      </w:tr>
    </w:tbl>
    <w:p>
      <w:pPr>
        <w:pStyle w:val="BodyText"/>
      </w:pPr>
      <w:r>
        <w:t xml:space="preserve">Un bloc d’adéquation (batteries, effacement, pointe hydrogène à horizon 2040) est offert à</w:t>
      </w:r>
      <w:r>
        <w:t xml:space="preserve"> </w:t>
      </w:r>
      <w:r>
        <w:rPr>
          <w:b/>
          <w:bCs/>
        </w:rPr>
        <w:t xml:space="preserve">300 €/MWh</w:t>
      </w:r>
      <w:r>
        <w:t xml:space="preserve">. Cette valeur est posée explicitement, elle n’est pas ajustée sur les résultats.</w:t>
      </w:r>
    </w:p>
    <w:bookmarkStart w:id="26" w:name="capacité-disponible"/>
    <w:p>
      <w:pPr>
        <w:pStyle w:val="Heading2"/>
      </w:pPr>
      <w:r>
        <w:t xml:space="preserve">Capacité disponible</w:t>
      </w:r>
    </w:p>
    <w:p>
      <w:pPr>
        <w:pStyle w:val="Compact"/>
        <w:numPr>
          <w:ilvl w:val="0"/>
          <w:numId w:val="1002"/>
        </w:numPr>
      </w:pPr>
      <w:r>
        <w:rPr>
          <w:b/>
          <w:bCs/>
        </w:rPr>
        <w:t xml:space="preserve">Zones voisines</w:t>
      </w:r>
      <w:r>
        <w:t xml:space="preserve"> </w:t>
      </w:r>
      <w:r>
        <w:t xml:space="preserve">: capacité installée × facteur de dérating ; à défaut, quantile</w:t>
      </w:r>
      <w:r>
        <w:t xml:space="preserve"> </w:t>
      </w:r>
      <w:r>
        <w:rPr>
          <w:b/>
          <w:bCs/>
        </w:rPr>
        <w:t xml:space="preserve">p99,9</w:t>
      </w:r>
      <w:r>
        <w:t xml:space="preserve"> </w:t>
      </w:r>
      <w:r>
        <w:t xml:space="preserve">de la production observée. Le p99 a été essayé et rejeté — il sous-dimensionne les pointes et fabrique une pénurie qui n’existe pas.</w:t>
      </w:r>
    </w:p>
    <w:p>
      <w:pPr>
        <w:pStyle w:val="Compact"/>
        <w:numPr>
          <w:ilvl w:val="0"/>
          <w:numId w:val="1002"/>
        </w:numPr>
      </w:pPr>
      <w:r>
        <w:rPr>
          <w:b/>
          <w:bCs/>
        </w:rPr>
        <w:t xml:space="preserve">Nucléaire français</w:t>
      </w:r>
      <w:r>
        <w:t xml:space="preserve"> </w:t>
      </w:r>
      <w:r>
        <w:t xml:space="preserve">: maximum glissant sur 72 h de la production observée, majoré de 3 %, ou flux d’indisponibilités REMIT lorsqu’il est disponible.</w:t>
      </w:r>
    </w:p>
    <w:p>
      <w:pPr>
        <w:pStyle w:val="Compact"/>
        <w:numPr>
          <w:ilvl w:val="0"/>
          <w:numId w:val="1002"/>
        </w:numPr>
      </w:pPr>
      <w:r>
        <w:t xml:space="preserve">Disponibilité thermique 0,95 ; biomasse 0,85 ; réservoir 1,0 (la contrainte est l’énergie, pas la puissance).</w:t>
      </w:r>
    </w:p>
    <w:p>
      <w:r>
        <w:pict>
          <v:rect style="width:0;height:1.5pt" o:hralign="center" o:hrstd="t" o:hr="t"/>
        </w:pict>
      </w:r>
    </w:p>
    <w:bookmarkEnd w:id="26"/>
    <w:bookmarkEnd w:id="27"/>
    <w:bookmarkStart w:id="28" w:name="hydraulique"/>
    <w:p>
      <w:pPr>
        <w:pStyle w:val="Heading1"/>
      </w:pPr>
      <w:r>
        <w:t xml:space="preserve">4. Hydraulique</w:t>
      </w:r>
    </w:p>
    <w:p>
      <w:pPr>
        <w:pStyle w:val="FirstParagraph"/>
      </w:pPr>
      <w:r>
        <w:t xml:space="preserve">L’hydraulique de réservoir est offerte à un prix proche de zéro mais soumise à un</w:t>
      </w:r>
      <w:r>
        <w:t xml:space="preserve"> </w:t>
      </w:r>
      <w:r>
        <w:rPr>
          <w:b/>
          <w:bCs/>
        </w:rPr>
        <w:t xml:space="preserve">budget énergétique hebdomadaire égal à la production réservoir réellement observée</w:t>
      </w:r>
      <w:r>
        <w:t xml:space="preserve"> </w:t>
      </w:r>
      <w:r>
        <w:t xml:space="preserve">sur la fenêtre.</w:t>
      </w:r>
    </w:p>
    <w:p>
      <w:pPr>
        <w:pStyle w:val="BodyText"/>
      </w:pPr>
      <w:r>
        <w:t xml:space="preserve">Conséquence : l’énergie hydraulique est ancrée sur l’histoire, mais le LP la place librement dans la semaine.</w:t>
      </w:r>
      <w:r>
        <w:t xml:space="preserve"> </w:t>
      </w:r>
      <w:r>
        <w:rPr>
          <w:b/>
          <w:bCs/>
        </w:rPr>
        <w:t xml:space="preserve">La valeur de l’eau est donc endogène</w:t>
      </w:r>
      <w:r>
        <w:t xml:space="preserve"> </w:t>
      </w:r>
      <w:r>
        <w:t xml:space="preserve">— elle est le dual du budget.</w:t>
      </w:r>
    </w:p>
    <w:p>
      <w:pPr>
        <w:pStyle w:val="Compact"/>
        <w:numPr>
          <w:ilvl w:val="0"/>
          <w:numId w:val="1003"/>
        </w:numPr>
      </w:pPr>
      <w:r>
        <w:t xml:space="preserve">Courbes de valeur d’eau empiriques, saisonnalisées (les mois d’irrigation sont traités à part).</w:t>
      </w:r>
    </w:p>
    <w:p>
      <w:pPr>
        <w:pStyle w:val="Compact"/>
        <w:numPr>
          <w:ilvl w:val="0"/>
          <w:numId w:val="1003"/>
        </w:numPr>
      </w:pPr>
      <w:r>
        <w:t xml:space="preserve">Option de recentrage des offres hydrauliques sur le λ structurel d’une programmation dynamique stochastique : le niveau vient de Bellman, la dispersion reste empirique.</w:t>
      </w:r>
    </w:p>
    <w:p>
      <w:pPr>
        <w:pStyle w:val="Compact"/>
        <w:numPr>
          <w:ilvl w:val="0"/>
          <w:numId w:val="1003"/>
        </w:numPr>
      </w:pPr>
      <w:r>
        <w:t xml:space="preserve">Le fil de l’eau est en production fatale. Les STEP sont</w:t>
      </w:r>
      <w:r>
        <w:t xml:space="preserve"> </w:t>
      </w:r>
      <w:r>
        <w:rPr>
          <w:b/>
          <w:bCs/>
        </w:rPr>
        <w:t xml:space="preserve">exclues du dispatch</w:t>
      </w:r>
      <w:r>
        <w:t xml:space="preserve"> </w:t>
      </w:r>
      <w:r>
        <w:t xml:space="preserve">: l’arbitrage de stockage est un raffinement non traité.</w:t>
      </w:r>
    </w:p>
    <w:p>
      <w:r>
        <w:pict>
          <v:rect style="width:0;height:1.5pt" o:hralign="center" o:hrstd="t" o:hr="t"/>
        </w:pict>
      </w:r>
    </w:p>
    <w:bookmarkEnd w:id="28"/>
    <w:bookmarkStart w:id="29" w:name="production-fatale-et-prix-négatifs"/>
    <w:p>
      <w:pPr>
        <w:pStyle w:val="Heading1"/>
      </w:pPr>
      <w:r>
        <w:t xml:space="preserve">5. Production fatale et prix négatifs</w:t>
      </w:r>
    </w:p>
    <w:p>
      <w:pPr>
        <w:pStyle w:val="FirstParagraph"/>
      </w:pPr>
      <w:r>
        <w:t xml:space="preserve">Solaire, éolien, fil de l’eau et déchets sont en</w:t>
      </w:r>
      <w:r>
        <w:t xml:space="preserve"> </w:t>
      </w:r>
      <w:r>
        <w:rPr>
          <w:b/>
          <w:bCs/>
        </w:rPr>
        <w:t xml:space="preserve">must-take</w:t>
      </w:r>
      <w:r>
        <w:t xml:space="preserve">, bornés par le potentiel horaire. Le comportement à prix négatif dépend du régime de soutien de chaque cohorte.</w:t>
      </w:r>
    </w:p>
    <w:p>
      <w:pPr>
        <w:pStyle w:val="Compact"/>
        <w:numPr>
          <w:ilvl w:val="0"/>
          <w:numId w:val="1004"/>
        </w:numPr>
      </w:pPr>
      <w:r>
        <w:rPr>
          <w:b/>
          <w:bCs/>
        </w:rPr>
        <w:t xml:space="preserve">Schémas de soutien millésimés</w:t>
      </w:r>
      <w:r>
        <w:t xml:space="preserve"> </w:t>
      </w:r>
      <w:r>
        <w:t xml:space="preserve">: obligation d’achat, complément de rémunération, merchant. Chaque cohorte est indexée par son année de mise en service, si bien que la part « payée quoi qu’il arrive » décroît au fil du temps.</w:t>
      </w:r>
    </w:p>
    <w:p>
      <w:pPr>
        <w:pStyle w:val="Compact"/>
        <w:numPr>
          <w:ilvl w:val="0"/>
          <w:numId w:val="1004"/>
        </w:numPr>
      </w:pPr>
      <w:r>
        <w:rPr>
          <w:b/>
          <w:bCs/>
        </w:rPr>
        <w:t xml:space="preserve">Déclencheur §51 EEG</w:t>
      </w:r>
      <w:r>
        <w:t xml:space="preserve"> </w:t>
      </w:r>
      <w:r>
        <w:t xml:space="preserve">(et règle CfD 6 heures pour GB et l’Italie) : après N heures</w:t>
      </w:r>
      <w:r>
        <w:t xml:space="preserve"> </w:t>
      </w:r>
      <w:r>
        <w:rPr>
          <w:i/>
          <w:iCs/>
        </w:rPr>
        <w:t xml:space="preserve">consécutives</w:t>
      </w:r>
      <w:r>
        <w:t xml:space="preserve"> </w:t>
      </w:r>
      <w:r>
        <w:t xml:space="preserve">de prix négatif, le soutien cesse. C’est un point fixe, re-résolu à l’intérieur de la fenêtre.</w:t>
      </w:r>
    </w:p>
    <w:p>
      <w:pPr>
        <w:pStyle w:val="Compact"/>
        <w:numPr>
          <w:ilvl w:val="0"/>
          <w:numId w:val="1004"/>
        </w:numPr>
      </w:pPr>
      <w:r>
        <w:rPr>
          <w:b/>
          <w:bCs/>
        </w:rPr>
        <w:t xml:space="preserve">Planchers must-run mesurés</w:t>
      </w:r>
      <w:r>
        <w:t xml:space="preserve"> </w:t>
      </w:r>
      <w:r>
        <w:t xml:space="preserve">: p10 de la production observée par technologie et par mois, appliqués à DE-LU et ES en remplacement d’une heuristique cogénération × facteur thermique qui surestimait largement le socle forcé.</w:t>
      </w:r>
    </w:p>
    <w:p>
      <w:pPr>
        <w:pStyle w:val="FirstParagraph"/>
      </w:pPr>
      <w:r>
        <w:t xml:space="preserve">Le résultat structurel attendu est un</w:t>
      </w:r>
      <w:r>
        <w:t xml:space="preserve"> </w:t>
      </w:r>
      <w:r>
        <w:rPr>
          <w:b/>
          <w:bCs/>
        </w:rPr>
        <w:t xml:space="preserve">croisement</w:t>
      </w:r>
      <w:r>
        <w:t xml:space="preserve"> </w:t>
      </w:r>
      <w:r>
        <w:t xml:space="preserve">: le nombre d’heures négatives croît avec le développement des renouvelables, tandis que la profondeur des prix négatifs s’atténue à mesure que le stock de contrats payés quoi qu’il arrive s’éteint.</w:t>
      </w:r>
    </w:p>
    <w:p>
      <w:r>
        <w:pict>
          <v:rect style="width:0;height:1.5pt" o:hralign="center" o:hrstd="t" o:hr="t"/>
        </w:pict>
      </w:r>
    </w:p>
    <w:bookmarkEnd w:id="29"/>
    <w:bookmarkStart w:id="30" w:name="interconnexions"/>
    <w:p>
      <w:pPr>
        <w:pStyle w:val="Heading1"/>
      </w:pPr>
      <w:r>
        <w:t xml:space="preserve">6. Interconnexions</w:t>
      </w:r>
    </w:p>
    <w:p>
      <w:pPr>
        <w:pStyle w:val="Compact"/>
        <w:numPr>
          <w:ilvl w:val="0"/>
          <w:numId w:val="1005"/>
        </w:numPr>
      </w:pPr>
      <w:r>
        <w:rPr>
          <w:b/>
          <w:bCs/>
        </w:rPr>
        <w:t xml:space="preserve">NTC horaire publiée</w:t>
      </w:r>
      <w:r>
        <w:t xml:space="preserve"> </w:t>
      </w:r>
      <w:r>
        <w:t xml:space="preserve">par les gestionnaires de réseau lorsqu’elle existe.</w:t>
      </w:r>
    </w:p>
    <w:p>
      <w:pPr>
        <w:pStyle w:val="Compact"/>
        <w:numPr>
          <w:ilvl w:val="0"/>
          <w:numId w:val="1005"/>
        </w:numPr>
      </w:pPr>
      <w:r>
        <w:t xml:space="preserve">À défaut,</w:t>
      </w:r>
      <w:r>
        <w:t xml:space="preserve"> </w:t>
      </w:r>
      <w:r>
        <w:rPr>
          <w:b/>
          <w:bCs/>
        </w:rPr>
        <w:t xml:space="preserve">NTC dérivée du flux réalisé</w:t>
      </w:r>
      <w:r>
        <w:t xml:space="preserve"> </w:t>
      </w:r>
      <w:r>
        <w:t xml:space="preserve">: p99,5 par frontière et par sens, multiplié par un</w:t>
      </w:r>
      <w:r>
        <w:t xml:space="preserve"> </w:t>
      </w:r>
      <w:r>
        <w:rPr>
          <w:b/>
          <w:bCs/>
        </w:rPr>
        <w:t xml:space="preserve">facteur de coïncidence</w:t>
      </w:r>
      <w:r>
        <w:t xml:space="preserve"> </w:t>
      </w:r>
      <w:r>
        <w:t xml:space="preserve">propre à chaque zone. Ce facteur est nécessaire parce que le p99,5 mesure l’</w:t>
      </w:r>
      <w:r>
        <w:rPr>
          <w:i/>
          <w:iCs/>
        </w:rPr>
        <w:t xml:space="preserve">usage</w:t>
      </w:r>
      <w:r>
        <w:t xml:space="preserve"> </w:t>
      </w:r>
      <w:r>
        <w:t xml:space="preserve">et non la</w:t>
      </w:r>
      <w:r>
        <w:t xml:space="preserve"> </w:t>
      </w:r>
      <w:r>
        <w:rPr>
          <w:i/>
          <w:iCs/>
        </w:rPr>
        <w:t xml:space="preserve">capacité</w:t>
      </w:r>
      <w:r>
        <w:t xml:space="preserve"> </w:t>
      </w:r>
      <w:r>
        <w:t xml:space="preserve">: les frontières d’une même zone ne saturent pas au même moment, donc leur somme surestime l’export simultané physiquement atteignable.</w:t>
      </w:r>
    </w:p>
    <w:p>
      <w:pPr>
        <w:pStyle w:val="Compact"/>
        <w:numPr>
          <w:ilvl w:val="0"/>
          <w:numId w:val="1005"/>
        </w:numPr>
      </w:pPr>
      <w:r>
        <w:rPr>
          <w:b/>
          <w:bCs/>
        </w:rPr>
        <w:t xml:space="preserve">Réallocation à total constant</w:t>
      </w:r>
      <w:r>
        <w:t xml:space="preserve"> </w:t>
      </w:r>
      <w:r>
        <w:t xml:space="preserve">pour la Suisse : ses frontières sont ramenées à leurs proportions physiques sans toucher au total simultané.</w:t>
      </w:r>
    </w:p>
    <w:p>
      <w:pPr>
        <w:pStyle w:val="Compact"/>
        <w:numPr>
          <w:ilvl w:val="0"/>
          <w:numId w:val="1005"/>
        </w:numPr>
      </w:pPr>
      <w:r>
        <w:rPr>
          <w:b/>
          <w:bCs/>
        </w:rPr>
        <w:t xml:space="preserve">Plafonds de régime de surplus</w:t>
      </w:r>
      <w:r>
        <w:t xml:space="preserve"> </w:t>
      </w:r>
      <w:r>
        <w:t xml:space="preserve">: sur les heures de faible résidu de l’exportateur, la capacité est ramenée au p95 du flux observé sur ces heures. Le domaine d’échange se rétracte quand le renouvelable est fort — anti-corrélation qu’un plafond statique ne peut pas représenter.</w:t>
      </w:r>
    </w:p>
    <w:p>
      <w:pPr>
        <w:pStyle w:val="FirstParagraph"/>
      </w:pPr>
      <w:r>
        <w:t xml:space="preserve">En projection, les interconnexions évoluent par</w:t>
      </w:r>
      <w:r>
        <w:t xml:space="preserve"> </w:t>
      </w:r>
      <w:r>
        <w:rPr>
          <w:b/>
          <w:bCs/>
        </w:rPr>
        <w:t xml:space="preserve">marches discrètes</w:t>
      </w:r>
      <w:r>
        <w:t xml:space="preserve"> </w:t>
      </w:r>
      <w:r>
        <w:t xml:space="preserve">: une ligne par projet avec son année de mise en service, sommée en escalier et jamais interpolée, appliquée en delta MW sur la série horaire de l’année de référence. Un câble est un actif discret, pas une trajectoire lisse.</w:t>
      </w:r>
    </w:p>
    <w:p>
      <w:r>
        <w:pict>
          <v:rect style="width:0;height:1.5pt" o:hralign="center" o:hrstd="t" o:hr="t"/>
        </w:pict>
      </w:r>
    </w:p>
    <w:bookmarkEnd w:id="30"/>
    <w:bookmarkStart w:id="38" w:name="flexibilité-nucléaire-française"/>
    <w:p>
      <w:pPr>
        <w:pStyle w:val="Heading1"/>
      </w:pPr>
      <w:r>
        <w:t xml:space="preserve">7. Flexibilité nucléaire française</w:t>
      </w:r>
    </w:p>
    <w:p>
      <w:pPr>
        <w:pStyle w:val="FirstParagraph"/>
      </w:pPr>
      <w:r>
        <w:t xml:space="preserve">Ce module est le cœur de la formation des prix bas en France. Lorsqu’il est actif, le parc nucléaire n’est</w:t>
      </w:r>
      <w:r>
        <w:t xml:space="preserve"> </w:t>
      </w:r>
      <w:r>
        <w:rPr>
          <w:b/>
          <w:bCs/>
        </w:rPr>
        <w:t xml:space="preserve">pas</w:t>
      </w:r>
      <w:r>
        <w:t xml:space="preserve"> </w:t>
      </w:r>
      <w:r>
        <w:t xml:space="preserve">réduit à une courbe d’offre agrégée : les rigidités agissent sur des</w:t>
      </w:r>
      <w:r>
        <w:t xml:space="preserve"> </w:t>
      </w:r>
      <w:r>
        <w:rPr>
          <w:b/>
          <w:bCs/>
        </w:rPr>
        <w:t xml:space="preserve">réacteurs individuels</w:t>
      </w:r>
      <w:r>
        <w:t xml:space="preserve">, car une tranche agrégée n’a ni état de couplage, ni position dans son cycle de combustible, ni démarrage à payer.</w:t>
      </w:r>
    </w:p>
    <w:bookmarkStart w:id="31" w:name="X3e2c0a7bdfa6e721cc98700c5470f68cacf3d8d"/>
    <w:p>
      <w:pPr>
        <w:pStyle w:val="Heading2"/>
      </w:pPr>
      <w:r>
        <w:t xml:space="preserve">7.1 Le mécanisme — d’où viennent les prix négatifs</w:t>
      </w:r>
    </w:p>
    <w:p>
      <w:pPr>
        <w:pStyle w:val="FirstParagraph"/>
      </w:pPr>
      <w:r>
        <w:t xml:space="preserve">Point essentiel :</w:t>
      </w:r>
      <w:r>
        <w:t xml:space="preserve"> </w:t>
      </w:r>
      <w:r>
        <w:rPr>
          <w:b/>
          <w:bCs/>
        </w:rPr>
        <w:t xml:space="preserve">aucune offre négative n’est jamais écrite dans le modèle.</w:t>
      </w:r>
      <w:r>
        <w:t xml:space="preserve"> </w:t>
      </w:r>
      <w:r>
        <w:t xml:space="preserve">Les offres nucléaires sont plafonnées par le bas au coût du combustible. Le prix négatif émerge de la contrainte :</w:t>
      </w:r>
    </w:p>
    <w:p>
      <w:pPr>
        <w:pStyle w:val="Compact"/>
        <w:numPr>
          <w:ilvl w:val="0"/>
          <w:numId w:val="1006"/>
        </w:numPr>
      </w:pPr>
      <w:r>
        <w:t xml:space="preserve">Un réacteur couplé doit produire au moins sa bande normale (contrainte</w:t>
      </w:r>
      <w:r>
        <w:t xml:space="preserve"> </w:t>
      </w:r>
      <w:r>
        <w:rPr>
          <w:b/>
          <w:bCs/>
        </w:rPr>
        <w:t xml:space="preserve">C1</w:t>
      </w:r>
      <w:r>
        <w:t xml:space="preserve">).</w:t>
      </w:r>
    </w:p>
    <w:p>
      <w:pPr>
        <w:pStyle w:val="Compact"/>
        <w:numPr>
          <w:ilvl w:val="0"/>
          <w:numId w:val="1006"/>
        </w:numPr>
      </w:pPr>
      <w:r>
        <w:t xml:space="preserve">Descendre sous cette bande — la « modulation profonde » — coûte</w:t>
      </w:r>
      <w:r>
        <w:t xml:space="preserve"> </w:t>
      </w:r>
      <w:r>
        <w:rPr>
          <w:rStyle w:val="VerbatimChar"/>
        </w:rPr>
        <w:t xml:space="preserve">c_mod</w:t>
      </w:r>
      <w:r>
        <w:t xml:space="preserve"> </w:t>
      </w:r>
      <w:r>
        <w:t xml:space="preserve">par MWh.</w:t>
      </w:r>
    </w:p>
    <w:p>
      <w:pPr>
        <w:pStyle w:val="Compact"/>
        <w:numPr>
          <w:ilvl w:val="0"/>
          <w:numId w:val="1006"/>
        </w:numPr>
      </w:pPr>
      <w:r>
        <w:t xml:space="preserve">L’offre implicite du réacteur pour conserver son MWh marginal vaut donc</w:t>
      </w:r>
      <w:r>
        <w:t xml:space="preserve"> </w:t>
      </w:r>
      <w:r>
        <w:rPr>
          <w:rStyle w:val="VerbatimChar"/>
        </w:rPr>
        <w:t xml:space="preserve">SRMC − c_mod</w:t>
      </w:r>
      <w:r>
        <w:t xml:space="preserve">, quantité qui peut être négative.</w:t>
      </w:r>
    </w:p>
    <w:p>
      <w:pPr>
        <w:pStyle w:val="FirstParagraph"/>
      </w:pPr>
      <w:r>
        <w:rPr>
          <w:b/>
          <w:bCs/>
        </w:rPr>
        <w:t xml:space="preserve">Autrement dit, le prix négatif est une conséquence mesurée de la rigidité physique, pas une hypothèse de comportement.</w:t>
      </w:r>
      <w:r>
        <w:t xml:space="preserve"> </w:t>
      </w:r>
      <w:r>
        <w:t xml:space="preserve">C’est ce qui rend le résultat falsifiable.</w:t>
      </w:r>
    </w:p>
    <w:bookmarkEnd w:id="31"/>
    <w:bookmarkStart w:id="32" w:name="Xcf7caae1ee18c6fdd4b59c68fc6458c139644b6"/>
    <w:p>
      <w:pPr>
        <w:pStyle w:val="Heading2"/>
      </w:pPr>
      <w:r>
        <w:t xml:space="preserve">7.2 Variables de décision (par réacteur, par heure)</w:t>
      </w:r>
    </w:p>
    <w:tbl>
      <w:tblPr>
        <w:tblStyle w:val="Table"/>
        <w:tblW w:type="pct" w:w="5000"/>
        <w:tblLayout w:type="fixed"/>
        <w:tblLook w:firstRow="1" w:lastRow="0" w:firstColumn="0" w:lastColumn="0" w:noHBand="0" w:noVBand="0" w:val="0020"/>
      </w:tblPr>
      <w:tblGrid>
        <w:gridCol w:w="1980"/>
        <w:gridCol w:w="1100"/>
        <w:gridCol w:w="1540"/>
        <w:gridCol w:w="3300"/>
      </w:tblGrid>
      <w:tr>
        <w:trPr>
          <w:tblHeader w:val="on"/>
        </w:trPr>
        <w:tc>
          <w:tcPr/>
          <w:p>
            <w:pPr>
              <w:pStyle w:val="Compact"/>
              <w:jc w:val="left"/>
            </w:pPr>
            <w:r>
              <w:t xml:space="preserve">Symbole</w:t>
            </w:r>
          </w:p>
        </w:tc>
        <w:tc>
          <w:tcPr/>
          <w:p>
            <w:pPr>
              <w:pStyle w:val="Compact"/>
              <w:jc w:val="left"/>
            </w:pPr>
            <w:r>
              <w:t xml:space="preserve">Nom</w:t>
            </w:r>
          </w:p>
        </w:tc>
        <w:tc>
          <w:tcPr/>
          <w:p>
            <w:pPr>
              <w:pStyle w:val="Compact"/>
              <w:jc w:val="center"/>
            </w:pPr>
            <w:r>
              <w:t xml:space="preserve">Unité</w:t>
            </w:r>
          </w:p>
        </w:tc>
        <w:tc>
          <w:tcPr/>
          <w:p>
            <w:pPr>
              <w:pStyle w:val="Compact"/>
              <w:jc w:val="left"/>
            </w:pPr>
            <w:r>
              <w:t xml:space="preserve">Signification</w:t>
            </w:r>
          </w:p>
        </w:tc>
      </w:tr>
      <w:tr>
        <w:tc>
          <w:tcPr/>
          <w:p>
            <w:pPr>
              <w:pStyle w:val="Compact"/>
              <w:jc w:val="left"/>
            </w:pPr>
            <w:r>
              <w:rPr>
                <w:rStyle w:val="VerbatimChar"/>
              </w:rPr>
              <w:t xml:space="preserve">p</w:t>
            </w:r>
          </w:p>
        </w:tc>
        <w:tc>
          <w:tcPr/>
          <w:p>
            <w:pPr>
              <w:pStyle w:val="Compact"/>
              <w:jc w:val="left"/>
            </w:pPr>
            <w:r>
              <w:t xml:space="preserve">Puissance</w:t>
            </w:r>
          </w:p>
        </w:tc>
        <w:tc>
          <w:tcPr/>
          <w:p>
            <w:pPr>
              <w:pStyle w:val="Compact"/>
              <w:jc w:val="center"/>
            </w:pPr>
            <w:r>
              <w:t xml:space="preserve">MW</w:t>
            </w:r>
          </w:p>
        </w:tc>
        <w:tc>
          <w:tcPr/>
          <w:p>
            <w:pPr>
              <w:pStyle w:val="Compact"/>
              <w:jc w:val="left"/>
            </w:pPr>
            <w:r>
              <w:t xml:space="preserve">Puissance électrique effectivement produite par le réacteur sur l’heure.</w:t>
            </w:r>
          </w:p>
        </w:tc>
      </w:tr>
      <w:tr>
        <w:tc>
          <w:tcPr/>
          <w:p>
            <w:pPr>
              <w:pStyle w:val="Compact"/>
              <w:jc w:val="left"/>
            </w:pPr>
            <w:r>
              <w:rPr>
                <w:rStyle w:val="VerbatimChar"/>
              </w:rPr>
              <w:t xml:space="preserve">u</w:t>
            </w:r>
          </w:p>
        </w:tc>
        <w:tc>
          <w:tcPr/>
          <w:p>
            <w:pPr>
              <w:pStyle w:val="Compact"/>
              <w:jc w:val="left"/>
            </w:pPr>
            <w:r>
              <w:t xml:space="preserve">Capacité engagée</w:t>
            </w:r>
          </w:p>
        </w:tc>
        <w:tc>
          <w:tcPr/>
          <w:p>
            <w:pPr>
              <w:pStyle w:val="Compact"/>
              <w:jc w:val="center"/>
            </w:pPr>
            <w:r>
              <w:t xml:space="preserve">MW</w:t>
            </w:r>
          </w:p>
        </w:tc>
        <w:tc>
          <w:tcPr/>
          <w:p>
            <w:pPr>
              <w:pStyle w:val="Compact"/>
              <w:jc w:val="left"/>
            </w:pPr>
            <w:r>
              <w:t xml:space="preserve">Part de la capacité du réacteur</w:t>
            </w:r>
            <w:r>
              <w:t xml:space="preserve"> </w:t>
            </w:r>
            <w:r>
              <w:rPr>
                <w:b/>
                <w:bCs/>
              </w:rPr>
              <w:t xml:space="preserve">couplée au réseau</w:t>
            </w:r>
            <w:r>
              <w:t xml:space="preserve">. Relaxée en continu (LP pur) :</w:t>
            </w:r>
            <w:r>
              <w:t xml:space="preserve"> </w:t>
            </w:r>
            <w:r>
              <w:rPr>
                <w:rStyle w:val="VerbatimChar"/>
              </w:rPr>
              <w:t xml:space="preserve">u = 0</w:t>
            </w:r>
            <w:r>
              <w:t xml:space="preserve"> </w:t>
            </w:r>
            <w:r>
              <w:t xml:space="preserve">signifie réacteur découplé,</w:t>
            </w:r>
            <w:r>
              <w:t xml:space="preserve"> </w:t>
            </w:r>
            <w:r>
              <w:rPr>
                <w:rStyle w:val="VerbatimChar"/>
              </w:rPr>
              <w:t xml:space="preserve">u = capacité</w:t>
            </w:r>
            <w:r>
              <w:t xml:space="preserve"> </w:t>
            </w:r>
            <w:r>
              <w:t xml:space="preserve">signifie pleinement engagé. C’est</w:t>
            </w:r>
            <w:r>
              <w:t xml:space="preserve"> </w:t>
            </w:r>
            <w:r>
              <w:rPr>
                <w:rStyle w:val="VerbatimChar"/>
              </w:rPr>
              <w:t xml:space="preserve">u</w:t>
            </w:r>
            <w:r>
              <w:t xml:space="preserve">, et non</w:t>
            </w:r>
            <w:r>
              <w:t xml:space="preserve"> </w:t>
            </w:r>
            <w:r>
              <w:rPr>
                <w:rStyle w:val="VerbatimChar"/>
              </w:rPr>
              <w:t xml:space="preserve">p</w:t>
            </w:r>
            <w:r>
              <w:t xml:space="preserve">, que les contraintes de démarrage et de bande prennent pour référence.</w:t>
            </w:r>
          </w:p>
        </w:tc>
      </w:tr>
      <w:tr>
        <w:tc>
          <w:tcPr/>
          <w:p>
            <w:pPr>
              <w:pStyle w:val="Compact"/>
              <w:jc w:val="left"/>
            </w:pPr>
            <w:r>
              <w:rPr>
                <w:rStyle w:val="VerbatimChar"/>
              </w:rPr>
              <w:t xml:space="preserve">d</w:t>
            </w:r>
          </w:p>
        </w:tc>
        <w:tc>
          <w:tcPr/>
          <w:p>
            <w:pPr>
              <w:pStyle w:val="Compact"/>
              <w:jc w:val="left"/>
            </w:pPr>
            <w:r>
              <w:t xml:space="preserve">Modulation profonde</w:t>
            </w:r>
          </w:p>
        </w:tc>
        <w:tc>
          <w:tcPr/>
          <w:p>
            <w:pPr>
              <w:pStyle w:val="Compact"/>
              <w:jc w:val="center"/>
            </w:pPr>
            <w:r>
              <w:t xml:space="preserve">MW</w:t>
            </w:r>
          </w:p>
        </w:tc>
        <w:tc>
          <w:tcPr/>
          <w:p>
            <w:pPr>
              <w:pStyle w:val="Compact"/>
              <w:jc w:val="left"/>
            </w:pPr>
            <w:r>
              <w:rPr>
                <w:b/>
                <w:bCs/>
              </w:rPr>
              <w:t xml:space="preserve">Enfoncement sous le plancher de bande normale.</w:t>
            </w:r>
            <w:r>
              <w:t xml:space="preserve"> </w:t>
            </w:r>
            <w:r>
              <w:rPr>
                <w:rStyle w:val="VerbatimChar"/>
              </w:rPr>
              <w:t xml:space="preserve">d &gt; 0</w:t>
            </w:r>
            <w:r>
              <w:t xml:space="preserve"> </w:t>
            </w:r>
            <w:r>
              <w:t xml:space="preserve">signifie que le réacteur produit en dessous de</w:t>
            </w:r>
            <w:r>
              <w:t xml:space="preserve"> </w:t>
            </w:r>
            <w:r>
              <w:rPr>
                <w:rStyle w:val="VerbatimChar"/>
              </w:rPr>
              <w:t xml:space="preserve">α_band × u</w:t>
            </w:r>
            <w:r>
              <w:t xml:space="preserve">. C’est la variable coûteuse : elle porte</w:t>
            </w:r>
            <w:r>
              <w:t xml:space="preserve"> </w:t>
            </w:r>
            <w:r>
              <w:rPr>
                <w:rStyle w:val="VerbatimChar"/>
              </w:rPr>
              <w:t xml:space="preserve">c_mod</w:t>
            </w:r>
            <w:r>
              <w:t xml:space="preserve"> </w:t>
            </w:r>
            <w:r>
              <w:t xml:space="preserve">et alimente l’effet xénon.</w:t>
            </w:r>
          </w:p>
        </w:tc>
      </w:tr>
    </w:tbl>
    <w:bookmarkEnd w:id="32"/>
    <w:bookmarkStart w:id="34" w:name="Xa30842569b7dc8d1c8fe73a18105d517ee0d5d9"/>
    <w:p>
      <w:pPr>
        <w:pStyle w:val="Heading2"/>
      </w:pPr>
      <w:r>
        <w:t xml:space="preserve">7.3 Paramètres physiques par classe de réacteur</w:t>
      </w:r>
    </w:p>
    <w:tbl>
      <w:tblPr>
        <w:tblStyle w:val="Table"/>
        <w:tblW w:type="pct" w:w="5000"/>
        <w:tblLayout w:type="fixed"/>
        <w:tblLook w:firstRow="1" w:lastRow="0" w:firstColumn="0" w:lastColumn="0" w:noHBand="0" w:noVBand="0" w:val="0020"/>
      </w:tblPr>
      <w:tblGrid>
        <w:gridCol w:w="1738"/>
        <w:gridCol w:w="965"/>
        <w:gridCol w:w="2318"/>
        <w:gridCol w:w="2897"/>
      </w:tblGrid>
      <w:tr>
        <w:trPr>
          <w:tblHeader w:val="on"/>
        </w:trPr>
        <w:tc>
          <w:tcPr/>
          <w:p>
            <w:pPr>
              <w:pStyle w:val="Compact"/>
              <w:jc w:val="left"/>
            </w:pPr>
            <w:r>
              <w:t xml:space="preserve">Symbole</w:t>
            </w:r>
          </w:p>
        </w:tc>
        <w:tc>
          <w:tcPr/>
          <w:p>
            <w:pPr>
              <w:pStyle w:val="Compact"/>
              <w:jc w:val="left"/>
            </w:pPr>
            <w:r>
              <w:t xml:space="preserve">Nom</w:t>
            </w:r>
          </w:p>
        </w:tc>
        <w:tc>
          <w:tcPr/>
          <w:p>
            <w:pPr>
              <w:pStyle w:val="Compact"/>
              <w:jc w:val="center"/>
            </w:pPr>
            <w:r>
              <w:t xml:space="preserve">Contrainte</w:t>
            </w:r>
          </w:p>
        </w:tc>
        <w:tc>
          <w:tcPr/>
          <w:p>
            <w:pPr>
              <w:pStyle w:val="Compact"/>
              <w:jc w:val="left"/>
            </w:pPr>
            <w:r>
              <w:t xml:space="preserve">Signification</w:t>
            </w:r>
          </w:p>
        </w:tc>
      </w:tr>
      <w:tr>
        <w:tc>
          <w:tcPr/>
          <w:p>
            <w:pPr>
              <w:pStyle w:val="Compact"/>
              <w:jc w:val="left"/>
            </w:pPr>
            <w:r>
              <w:rPr>
                <w:rStyle w:val="VerbatimChar"/>
              </w:rPr>
              <w:t xml:space="preserve">α_band</w:t>
            </w:r>
          </w:p>
        </w:tc>
        <w:tc>
          <w:tcPr/>
          <w:p>
            <w:pPr>
              <w:pStyle w:val="Compact"/>
              <w:jc w:val="left"/>
            </w:pPr>
            <w:r>
              <w:t xml:space="preserve">Plancher de bande</w:t>
            </w:r>
          </w:p>
        </w:tc>
        <w:tc>
          <w:tcPr/>
          <w:p>
            <w:pPr>
              <w:pStyle w:val="Compact"/>
              <w:jc w:val="center"/>
            </w:pPr>
            <w:r>
              <w:t xml:space="preserve">C1</w:t>
            </w:r>
          </w:p>
        </w:tc>
        <w:tc>
          <w:tcPr/>
          <w:p>
            <w:pPr>
              <w:pStyle w:val="Compact"/>
              <w:jc w:val="left"/>
            </w:pPr>
            <w:r>
              <w:t xml:space="preserve">Plancher d’exploitation normale, en fraction de la capacité engagée :</w:t>
            </w:r>
            <w:r>
              <w:t xml:space="preserve"> </w:t>
            </w:r>
            <w:r>
              <w:rPr>
                <w:rStyle w:val="VerbatimChar"/>
              </w:rPr>
              <w:t xml:space="preserve">p ≥ α_band × u − d</w:t>
            </w:r>
            <w:r>
              <w:t xml:space="preserve">. Le réacteur descend jusque-là sans pénalité.</w:t>
            </w:r>
          </w:p>
        </w:tc>
      </w:tr>
      <w:tr>
        <w:tc>
          <w:tcPr/>
          <w:p>
            <w:pPr>
              <w:pStyle w:val="Compact"/>
              <w:jc w:val="left"/>
            </w:pPr>
            <w:r>
              <w:rPr>
                <w:rStyle w:val="VerbatimChar"/>
              </w:rPr>
              <w:t xml:space="preserve">α_tech</w:t>
            </w:r>
          </w:p>
        </w:tc>
        <w:tc>
          <w:tcPr/>
          <w:p>
            <w:pPr>
              <w:pStyle w:val="Compact"/>
              <w:jc w:val="left"/>
            </w:pPr>
            <w:r>
              <w:t xml:space="preserve">Minimum technique</w:t>
            </w:r>
          </w:p>
        </w:tc>
        <w:tc>
          <w:tcPr/>
          <w:p>
            <w:pPr>
              <w:pStyle w:val="Compact"/>
              <w:jc w:val="center"/>
            </w:pPr>
            <w:r>
              <w:t xml:space="preserve">C1</w:t>
            </w:r>
          </w:p>
        </w:tc>
        <w:tc>
          <w:tcPr/>
          <w:p>
            <w:pPr>
              <w:pStyle w:val="Compact"/>
              <w:jc w:val="left"/>
            </w:pPr>
            <w:r>
              <w:t xml:space="preserve">Minimum absolu atteignable, en fraction. Borne la modulation profonde :</w:t>
            </w:r>
            <w:r>
              <w:t xml:space="preserve"> </w:t>
            </w:r>
            <w:r>
              <w:rPr>
                <w:rStyle w:val="VerbatimChar"/>
              </w:rPr>
              <w:t xml:space="preserve">d ≤ (α_band − α_tech) × u</w:t>
            </w:r>
            <w:r>
              <w:t xml:space="preserve">. L’écart entre les deux α est donc la</w:t>
            </w:r>
            <w:r>
              <w:t xml:space="preserve"> </w:t>
            </w:r>
            <w:r>
              <w:rPr>
                <w:b/>
                <w:bCs/>
              </w:rPr>
              <w:t xml:space="preserve">profondeur de modulation disponible</w:t>
            </w:r>
            <w:r>
              <w:t xml:space="preserve">.</w:t>
            </w:r>
          </w:p>
        </w:tc>
      </w:tr>
      <w:tr>
        <w:tc>
          <w:tcPr/>
          <w:p>
            <w:pPr>
              <w:pStyle w:val="Compact"/>
              <w:jc w:val="left"/>
            </w:pPr>
            <w:r>
              <w:rPr>
                <w:rStyle w:val="VerbatimChar"/>
              </w:rPr>
              <w:t xml:space="preserve">r_up</w:t>
            </w:r>
          </w:p>
        </w:tc>
        <w:tc>
          <w:tcPr/>
          <w:p>
            <w:pPr>
              <w:pStyle w:val="Compact"/>
              <w:jc w:val="left"/>
            </w:pPr>
            <w:r>
              <w:t xml:space="preserve">Rampe à la hausse</w:t>
            </w:r>
          </w:p>
        </w:tc>
        <w:tc>
          <w:tcPr/>
          <w:p>
            <w:pPr>
              <w:pStyle w:val="Compact"/>
              <w:jc w:val="center"/>
            </w:pPr>
            <w:r>
              <w:t xml:space="preserve">C3</w:t>
            </w:r>
          </w:p>
        </w:tc>
        <w:tc>
          <w:tcPr/>
          <w:p>
            <w:pPr>
              <w:pStyle w:val="Compact"/>
              <w:jc w:val="left"/>
            </w:pPr>
            <w:r>
              <w:t xml:space="preserve">Hausse horaire maximale, en fraction de la capacité.</w:t>
            </w:r>
          </w:p>
        </w:tc>
      </w:tr>
      <w:tr>
        <w:tc>
          <w:tcPr/>
          <w:p>
            <w:pPr>
              <w:pStyle w:val="Compact"/>
              <w:jc w:val="left"/>
            </w:pPr>
            <w:r>
              <w:rPr>
                <w:rStyle w:val="VerbatimChar"/>
              </w:rPr>
              <w:t xml:space="preserve">r_down</w:t>
            </w:r>
          </w:p>
        </w:tc>
        <w:tc>
          <w:tcPr/>
          <w:p>
            <w:pPr>
              <w:pStyle w:val="Compact"/>
              <w:jc w:val="left"/>
            </w:pPr>
            <w:r>
              <w:t xml:space="preserve">Rampe à la baisse</w:t>
            </w:r>
          </w:p>
        </w:tc>
        <w:tc>
          <w:tcPr/>
          <w:p>
            <w:pPr>
              <w:pStyle w:val="Compact"/>
              <w:jc w:val="center"/>
            </w:pPr>
            <w:r>
              <w:t xml:space="preserve">C3</w:t>
            </w:r>
          </w:p>
        </w:tc>
        <w:tc>
          <w:tcPr/>
          <w:p>
            <w:pPr>
              <w:pStyle w:val="Compact"/>
              <w:jc w:val="left"/>
            </w:pPr>
            <w:r>
              <w:t xml:space="preserve">Baisse horaire maximale. Plus généreuse que la montée : un réacteur descend plus facilement qu’il ne remonte.</w:t>
            </w:r>
          </w:p>
        </w:tc>
      </w:tr>
      <w:tr>
        <w:tc>
          <w:tcPr/>
          <w:p>
            <w:pPr>
              <w:pStyle w:val="Compact"/>
              <w:jc w:val="left"/>
            </w:pPr>
            <w:r>
              <w:rPr>
                <w:rStyle w:val="VerbatimChar"/>
              </w:rPr>
              <w:t xml:space="preserve">β</w:t>
            </w:r>
          </w:p>
        </w:tc>
        <w:tc>
          <w:tcPr/>
          <w:p>
            <w:pPr>
              <w:pStyle w:val="Compact"/>
              <w:jc w:val="left"/>
            </w:pPr>
            <w:r>
              <w:t xml:space="preserve">Pénalité xénon</w:t>
            </w:r>
          </w:p>
        </w:tc>
        <w:tc>
          <w:tcPr/>
          <w:p>
            <w:pPr>
              <w:pStyle w:val="Compact"/>
              <w:jc w:val="center"/>
            </w:pPr>
            <w:r>
              <w:t xml:space="preserve">C3</w:t>
            </w:r>
          </w:p>
        </w:tc>
        <w:tc>
          <w:tcPr/>
          <w:p>
            <w:pPr>
              <w:pStyle w:val="Compact"/>
              <w:jc w:val="left"/>
            </w:pPr>
            <w:r>
              <w:t xml:space="preserve">Pénalité de rampe à la hausse par unité de profondeur de modulation</w:t>
            </w:r>
            <w:r>
              <w:t xml:space="preserve"> </w:t>
            </w:r>
            <w:r>
              <w:rPr>
                <w:b/>
                <w:bCs/>
              </w:rPr>
              <w:t xml:space="preserve">récente</w:t>
            </w:r>
            <w:r>
              <w:t xml:space="preserve">. Représente l’empoisonnement au xénon 135 : après un enfoncement, le réacteur ne peut pas remonter librement. Contrainte :</w:t>
            </w:r>
            <w:r>
              <w:t xml:space="preserve"> </w:t>
            </w:r>
            <w:r>
              <w:rPr>
                <w:rStyle w:val="VerbatimChar"/>
              </w:rPr>
              <w:t xml:space="preserve">r_up × u − β × Σ(d sur 8 h) ≥ 0</w:t>
            </w:r>
            <w:r>
              <w:t xml:space="preserve">.</w:t>
            </w:r>
          </w:p>
        </w:tc>
      </w:tr>
      <w:tr>
        <w:tc>
          <w:tcPr/>
          <w:p>
            <w:pPr>
              <w:pStyle w:val="Compact"/>
              <w:jc w:val="left"/>
            </w:pPr>
            <w:r>
              <w:rPr>
                <w:rStyle w:val="VerbatimChar"/>
              </w:rPr>
              <w:t xml:space="preserve">d_max_8h</w:t>
            </w:r>
          </w:p>
        </w:tc>
        <w:tc>
          <w:tcPr/>
          <w:p>
            <w:pPr>
              <w:pStyle w:val="Compact"/>
              <w:jc w:val="left"/>
            </w:pPr>
            <w:r>
              <w:t xml:space="preserve">Budget 8 h</w:t>
            </w:r>
          </w:p>
        </w:tc>
        <w:tc>
          <w:tcPr/>
          <w:p>
            <w:pPr>
              <w:pStyle w:val="Compact"/>
              <w:jc w:val="center"/>
            </w:pPr>
            <w:r>
              <w:t xml:space="preserve">C2a</w:t>
            </w:r>
          </w:p>
        </w:tc>
        <w:tc>
          <w:tcPr/>
          <w:p>
            <w:pPr>
              <w:pStyle w:val="Compact"/>
              <w:jc w:val="left"/>
            </w:pPr>
            <w:r>
              <w:t xml:space="preserve">Budget énergétique de modulation profonde sur 8 heures glissantes, en fraction de capacité × heure.</w:t>
            </w:r>
          </w:p>
        </w:tc>
      </w:tr>
      <w:tr>
        <w:tc>
          <w:tcPr/>
          <w:p>
            <w:pPr>
              <w:pStyle w:val="Compact"/>
              <w:jc w:val="left"/>
            </w:pPr>
            <w:r>
              <w:rPr>
                <w:rStyle w:val="VerbatimChar"/>
              </w:rPr>
              <w:t xml:space="preserve">d_max_day</w:t>
            </w:r>
          </w:p>
        </w:tc>
        <w:tc>
          <w:tcPr/>
          <w:p>
            <w:pPr>
              <w:pStyle w:val="Compact"/>
              <w:jc w:val="left"/>
            </w:pPr>
            <w:r>
              <w:t xml:space="preserve">Budget journalier</w:t>
            </w:r>
          </w:p>
        </w:tc>
        <w:tc>
          <w:tcPr/>
          <w:p>
            <w:pPr>
              <w:pStyle w:val="Compact"/>
              <w:jc w:val="center"/>
            </w:pPr>
            <w:r>
              <w:t xml:space="preserve">C2b</w:t>
            </w:r>
          </w:p>
        </w:tc>
        <w:tc>
          <w:tcPr/>
          <w:p>
            <w:pPr>
              <w:pStyle w:val="Compact"/>
              <w:jc w:val="left"/>
            </w:pPr>
            <w:r>
              <w:t xml:space="preserve">Même chose à l’échelle du jour. Les deux budgets ensemble empêchent une modulation profonde permanente que la physique du combustible n’autorise pas.</w:t>
            </w:r>
          </w:p>
        </w:tc>
      </w:tr>
      <w:tr>
        <w:tc>
          <w:tcPr/>
          <w:p>
            <w:pPr>
              <w:pStyle w:val="Compact"/>
              <w:jc w:val="left"/>
            </w:pPr>
            <w:r>
              <w:rPr>
                <w:rStyle w:val="VerbatimChar"/>
              </w:rPr>
              <w:t xml:space="preserve">ρ_recommit</w:t>
            </w:r>
          </w:p>
        </w:tc>
        <w:tc>
          <w:tcPr/>
          <w:p>
            <w:pPr>
              <w:pStyle w:val="Compact"/>
              <w:jc w:val="left"/>
            </w:pPr>
            <w:r>
              <w:t xml:space="preserve">Rampe de re-couplage</w:t>
            </w:r>
          </w:p>
        </w:tc>
        <w:tc>
          <w:tcPr/>
          <w:p>
            <w:pPr>
              <w:pStyle w:val="Compact"/>
              <w:jc w:val="center"/>
            </w:pPr>
            <w:r>
              <w:t xml:space="preserve">C5</w:t>
            </w:r>
          </w:p>
        </w:tc>
        <w:tc>
          <w:tcPr/>
          <w:p>
            <w:pPr>
              <w:pStyle w:val="Compact"/>
              <w:jc w:val="left"/>
            </w:pPr>
            <w:r>
              <w:t xml:space="preserve">Hausse horaire maximale de la</w:t>
            </w:r>
            <w:r>
              <w:t xml:space="preserve"> </w:t>
            </w:r>
            <w:r>
              <w:rPr>
                <w:b/>
                <w:bCs/>
              </w:rPr>
              <w:t xml:space="preserve">capacité engagée</w:t>
            </w:r>
            <w:r>
              <w:t xml:space="preserve"> </w:t>
            </w:r>
            <w:r>
              <w:t xml:space="preserve">après un arrêt. Traduit le fait qu’un réacteur ne se recouple pas instantanément.</w:t>
            </w:r>
          </w:p>
        </w:tc>
      </w:tr>
    </w:tbl>
    <w:bookmarkStart w:id="33" w:name="valeurs-retenues-par-palier"/>
    <w:p>
      <w:pPr>
        <w:pStyle w:val="Heading3"/>
      </w:pPr>
      <w:r>
        <w:t xml:space="preserve">Valeurs retenues par palier</w:t>
      </w:r>
    </w:p>
    <w:tbl>
      <w:tblPr>
        <w:tblStyle w:val="Table"/>
        <w:tblW w:type="pct" w:w="5000"/>
        <w:tblLayout w:type="fixed"/>
        <w:tblLook w:firstRow="1" w:lastRow="0" w:firstColumn="0" w:lastColumn="0" w:noHBand="0" w:noVBand="0" w:val="0020"/>
      </w:tblPr>
      <w:tblGrid>
        <w:gridCol w:w="851"/>
        <w:gridCol w:w="851"/>
        <w:gridCol w:w="851"/>
        <w:gridCol w:w="681"/>
        <w:gridCol w:w="851"/>
        <w:gridCol w:w="510"/>
        <w:gridCol w:w="1021"/>
        <w:gridCol w:w="1107"/>
        <w:gridCol w:w="1192"/>
      </w:tblGrid>
      <w:tr>
        <w:trPr>
          <w:tblHeader w:val="on"/>
        </w:trPr>
        <w:tc>
          <w:tcPr/>
          <w:p>
            <w:pPr>
              <w:pStyle w:val="Compact"/>
              <w:jc w:val="left"/>
            </w:pPr>
            <w:r>
              <w:t xml:space="preserve">Classe</w:t>
            </w:r>
          </w:p>
        </w:tc>
        <w:tc>
          <w:tcPr/>
          <w:p>
            <w:pPr>
              <w:pStyle w:val="Compact"/>
              <w:jc w:val="center"/>
            </w:pPr>
            <w:r>
              <w:rPr>
                <w:rStyle w:val="VerbatimChar"/>
              </w:rPr>
              <w:t xml:space="preserve">α_band</w:t>
            </w:r>
          </w:p>
        </w:tc>
        <w:tc>
          <w:tcPr/>
          <w:p>
            <w:pPr>
              <w:pStyle w:val="Compact"/>
              <w:jc w:val="center"/>
            </w:pPr>
            <w:r>
              <w:rPr>
                <w:rStyle w:val="VerbatimChar"/>
              </w:rPr>
              <w:t xml:space="preserve">α_tech</w:t>
            </w:r>
          </w:p>
        </w:tc>
        <w:tc>
          <w:tcPr/>
          <w:p>
            <w:pPr>
              <w:pStyle w:val="Compact"/>
              <w:jc w:val="center"/>
            </w:pPr>
            <w:r>
              <w:rPr>
                <w:rStyle w:val="VerbatimChar"/>
              </w:rPr>
              <w:t xml:space="preserve">r_up</w:t>
            </w:r>
          </w:p>
        </w:tc>
        <w:tc>
          <w:tcPr/>
          <w:p>
            <w:pPr>
              <w:pStyle w:val="Compact"/>
              <w:jc w:val="center"/>
            </w:pPr>
            <w:r>
              <w:rPr>
                <w:rStyle w:val="VerbatimChar"/>
              </w:rPr>
              <w:t xml:space="preserve">r_down</w:t>
            </w:r>
          </w:p>
        </w:tc>
        <w:tc>
          <w:tcPr/>
          <w:p>
            <w:pPr>
              <w:pStyle w:val="Compact"/>
              <w:jc w:val="center"/>
            </w:pPr>
            <w:r>
              <w:rPr>
                <w:rStyle w:val="VerbatimChar"/>
              </w:rPr>
              <w:t xml:space="preserve">β</w:t>
            </w:r>
          </w:p>
        </w:tc>
        <w:tc>
          <w:tcPr/>
          <w:p>
            <w:pPr>
              <w:pStyle w:val="Compact"/>
              <w:jc w:val="center"/>
            </w:pPr>
            <w:r>
              <w:rPr>
                <w:rStyle w:val="VerbatimChar"/>
              </w:rPr>
              <w:t xml:space="preserve">d_max_8h</w:t>
            </w:r>
          </w:p>
        </w:tc>
        <w:tc>
          <w:tcPr/>
          <w:p>
            <w:pPr>
              <w:pStyle w:val="Compact"/>
              <w:jc w:val="center"/>
            </w:pPr>
            <w:r>
              <w:rPr>
                <w:rStyle w:val="VerbatimChar"/>
              </w:rPr>
              <w:t xml:space="preserve">d_max_day</w:t>
            </w:r>
          </w:p>
        </w:tc>
        <w:tc>
          <w:tcPr/>
          <w:p>
            <w:pPr>
              <w:pStyle w:val="Compact"/>
              <w:jc w:val="center"/>
            </w:pPr>
            <w:r>
              <w:rPr>
                <w:rStyle w:val="VerbatimChar"/>
              </w:rPr>
              <w:t xml:space="preserve">ρ_recommit</w:t>
            </w:r>
          </w:p>
        </w:tc>
      </w:tr>
      <w:tr>
        <w:tc>
          <w:tcPr/>
          <w:p>
            <w:pPr>
              <w:pStyle w:val="Compact"/>
              <w:jc w:val="left"/>
            </w:pPr>
            <w:r>
              <w:t xml:space="preserve">900 MW</w:t>
            </w:r>
          </w:p>
        </w:tc>
        <w:tc>
          <w:tcPr/>
          <w:p>
            <w:pPr>
              <w:pStyle w:val="Compact"/>
              <w:jc w:val="center"/>
            </w:pPr>
            <w:r>
              <w:t xml:space="preserve">0,60</w:t>
            </w:r>
          </w:p>
        </w:tc>
        <w:tc>
          <w:tcPr/>
          <w:p>
            <w:pPr>
              <w:pStyle w:val="Compact"/>
              <w:jc w:val="center"/>
            </w:pPr>
            <w:r>
              <w:t xml:space="preserve">0,25</w:t>
            </w:r>
          </w:p>
        </w:tc>
        <w:tc>
          <w:tcPr/>
          <w:p>
            <w:pPr>
              <w:pStyle w:val="Compact"/>
              <w:jc w:val="center"/>
            </w:pPr>
            <w:r>
              <w:t xml:space="preserve">0,30</w:t>
            </w:r>
          </w:p>
        </w:tc>
        <w:tc>
          <w:tcPr/>
          <w:p>
            <w:pPr>
              <w:pStyle w:val="Compact"/>
              <w:jc w:val="center"/>
            </w:pPr>
            <w:r>
              <w:t xml:space="preserve">0,50</w:t>
            </w:r>
          </w:p>
        </w:tc>
        <w:tc>
          <w:tcPr/>
          <w:p>
            <w:pPr>
              <w:pStyle w:val="Compact"/>
              <w:jc w:val="center"/>
            </w:pPr>
            <w:r>
              <w:t xml:space="preserve">0,15</w:t>
            </w:r>
          </w:p>
        </w:tc>
        <w:tc>
          <w:tcPr/>
          <w:p>
            <w:pPr>
              <w:pStyle w:val="Compact"/>
              <w:jc w:val="center"/>
            </w:pPr>
            <w:r>
              <w:t xml:space="preserve">2,8</w:t>
            </w:r>
          </w:p>
        </w:tc>
        <w:tc>
          <w:tcPr/>
          <w:p>
            <w:pPr>
              <w:pStyle w:val="Compact"/>
              <w:jc w:val="center"/>
            </w:pPr>
            <w:r>
              <w:t xml:space="preserve">5,6</w:t>
            </w:r>
          </w:p>
        </w:tc>
        <w:tc>
          <w:tcPr/>
          <w:p>
            <w:pPr>
              <w:pStyle w:val="Compact"/>
              <w:jc w:val="center"/>
            </w:pPr>
            <w:r>
              <w:t xml:space="preserve">0,20</w:t>
            </w:r>
          </w:p>
        </w:tc>
      </w:tr>
      <w:tr>
        <w:tc>
          <w:tcPr/>
          <w:p>
            <w:pPr>
              <w:pStyle w:val="Compact"/>
              <w:jc w:val="left"/>
            </w:pPr>
            <w:r>
              <w:t xml:space="preserve">1300 MW</w:t>
            </w:r>
          </w:p>
        </w:tc>
        <w:tc>
          <w:tcPr/>
          <w:p>
            <w:pPr>
              <w:pStyle w:val="Compact"/>
              <w:jc w:val="center"/>
            </w:pPr>
            <w:r>
              <w:t xml:space="preserve">0,60</w:t>
            </w:r>
          </w:p>
        </w:tc>
        <w:tc>
          <w:tcPr/>
          <w:p>
            <w:pPr>
              <w:pStyle w:val="Compact"/>
              <w:jc w:val="center"/>
            </w:pPr>
            <w:r>
              <w:t xml:space="preserve">0,25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0,16</w:t>
            </w:r>
          </w:p>
        </w:tc>
        <w:tc>
          <w:tcPr/>
          <w:p>
            <w:pPr>
              <w:pStyle w:val="Compact"/>
              <w:jc w:val="center"/>
            </w:pPr>
            <w:r>
              <w:t xml:space="preserve">2,8</w:t>
            </w:r>
          </w:p>
        </w:tc>
        <w:tc>
          <w:tcPr/>
          <w:p>
            <w:pPr>
              <w:pStyle w:val="Compact"/>
              <w:jc w:val="center"/>
            </w:pPr>
            <w:r>
              <w:t xml:space="preserve">5,6</w:t>
            </w:r>
          </w:p>
        </w:tc>
        <w:tc>
          <w:tcPr/>
          <w:p>
            <w:pPr>
              <w:pStyle w:val="Compact"/>
              <w:jc w:val="center"/>
            </w:pPr>
            <w:r>
              <w:t xml:space="preserve">0,18</w:t>
            </w:r>
          </w:p>
        </w:tc>
      </w:tr>
      <w:tr>
        <w:tc>
          <w:tcPr/>
          <w:p>
            <w:pPr>
              <w:pStyle w:val="Compact"/>
              <w:jc w:val="left"/>
            </w:pPr>
            <w:r>
              <w:t xml:space="preserve">N4</w:t>
            </w:r>
          </w:p>
        </w:tc>
        <w:tc>
          <w:tcPr/>
          <w:p>
            <w:pPr>
              <w:pStyle w:val="Compact"/>
              <w:jc w:val="center"/>
            </w:pPr>
            <w:r>
              <w:t xml:space="preserve">0,58</w:t>
            </w:r>
          </w:p>
        </w:tc>
        <w:tc>
          <w:tcPr/>
          <w:p>
            <w:pPr>
              <w:pStyle w:val="Compact"/>
              <w:jc w:val="center"/>
            </w:pPr>
            <w:r>
              <w:t xml:space="preserve">0,22</w:t>
            </w:r>
          </w:p>
        </w:tc>
        <w:tc>
          <w:tcPr/>
          <w:p>
            <w:pPr>
              <w:pStyle w:val="Compact"/>
              <w:jc w:val="center"/>
            </w:pPr>
            <w:r>
              <w:t xml:space="preserve">0,26</w:t>
            </w:r>
          </w:p>
        </w:tc>
        <w:tc>
          <w:tcPr/>
          <w:p>
            <w:pPr>
              <w:pStyle w:val="Compact"/>
              <w:jc w:val="center"/>
            </w:pPr>
            <w:r>
              <w:t xml:space="preserve">0,46</w:t>
            </w:r>
          </w:p>
        </w:tc>
        <w:tc>
          <w:tcPr/>
          <w:p>
            <w:pPr>
              <w:pStyle w:val="Compact"/>
              <w:jc w:val="center"/>
            </w:pPr>
            <w:r>
              <w:t xml:space="preserve">0,17</w:t>
            </w:r>
          </w:p>
        </w:tc>
        <w:tc>
          <w:tcPr/>
          <w:p>
            <w:pPr>
              <w:pStyle w:val="Compact"/>
              <w:jc w:val="center"/>
            </w:pPr>
            <w:r>
              <w:t xml:space="preserve">2,9</w:t>
            </w:r>
          </w:p>
        </w:tc>
        <w:tc>
          <w:tcPr/>
          <w:p>
            <w:pPr>
              <w:pStyle w:val="Compact"/>
              <w:jc w:val="center"/>
            </w:pPr>
            <w:r>
              <w:t xml:space="preserve">5,8</w:t>
            </w:r>
          </w:p>
        </w:tc>
        <w:tc>
          <w:tcPr/>
          <w:p>
            <w:pPr>
              <w:pStyle w:val="Compact"/>
              <w:jc w:val="center"/>
            </w:pPr>
            <w:r>
              <w:t xml:space="preserve">0,16</w:t>
            </w:r>
          </w:p>
        </w:tc>
      </w:tr>
      <w:tr>
        <w:tc>
          <w:tcPr/>
          <w:p>
            <w:pPr>
              <w:pStyle w:val="Compact"/>
              <w:jc w:val="left"/>
            </w:pPr>
            <w:r>
              <w:t xml:space="preserve">EPR</w:t>
            </w:r>
          </w:p>
        </w:tc>
        <w:tc>
          <w:tcPr/>
          <w:p>
            <w:pPr>
              <w:pStyle w:val="Compact"/>
              <w:jc w:val="center"/>
            </w:pPr>
            <w:r>
              <w:t xml:space="preserve">0,55</w:t>
            </w:r>
          </w:p>
        </w:tc>
        <w:tc>
          <w:tcPr/>
          <w:p>
            <w:pPr>
              <w:pStyle w:val="Compact"/>
              <w:jc w:val="center"/>
            </w:pPr>
            <w:r>
              <w:t xml:space="preserve">0,20</w:t>
            </w:r>
          </w:p>
        </w:tc>
        <w:tc>
          <w:tcPr/>
          <w:p>
            <w:pPr>
              <w:pStyle w:val="Compact"/>
              <w:jc w:val="center"/>
            </w:pPr>
            <w:r>
              <w:t xml:space="preserve">0,30</w:t>
            </w:r>
          </w:p>
        </w:tc>
        <w:tc>
          <w:tcPr/>
          <w:p>
            <w:pPr>
              <w:pStyle w:val="Compact"/>
              <w:jc w:val="center"/>
            </w:pPr>
            <w:r>
              <w:t xml:space="preserve">0,55</w:t>
            </w:r>
          </w:p>
        </w:tc>
        <w:tc>
          <w:tcPr/>
          <w:p>
            <w:pPr>
              <w:pStyle w:val="Compact"/>
              <w:jc w:val="center"/>
            </w:pPr>
            <w:r>
              <w:t xml:space="preserve">0,14</w:t>
            </w:r>
          </w:p>
        </w:tc>
        <w:tc>
          <w:tcPr/>
          <w:p>
            <w:pPr>
              <w:pStyle w:val="Compact"/>
              <w:jc w:val="center"/>
            </w:pPr>
            <w:r>
              <w:t xml:space="preserve">3,2</w:t>
            </w:r>
          </w:p>
        </w:tc>
        <w:tc>
          <w:tcPr/>
          <w:p>
            <w:pPr>
              <w:pStyle w:val="Compact"/>
              <w:jc w:val="center"/>
            </w:pPr>
            <w:r>
              <w:t xml:space="preserve">6,4</w:t>
            </w:r>
          </w:p>
        </w:tc>
        <w:tc>
          <w:tcPr/>
          <w:p>
            <w:pPr>
              <w:pStyle w:val="Compact"/>
              <w:jc w:val="center"/>
            </w:pPr>
            <w:r>
              <w:t xml:space="preserve">0,22</w:t>
            </w:r>
          </w:p>
        </w:tc>
      </w:tr>
      <w:tr>
        <w:tc>
          <w:tcPr/>
          <w:p>
            <w:pPr>
              <w:pStyle w:val="Compact"/>
              <w:jc w:val="left"/>
            </w:pPr>
            <w:r>
              <w:t xml:space="preserve">EPR2</w:t>
            </w:r>
          </w:p>
        </w:tc>
        <w:tc>
          <w:tcPr/>
          <w:p>
            <w:pPr>
              <w:pStyle w:val="Compact"/>
              <w:jc w:val="center"/>
            </w:pPr>
            <w:r>
              <w:t xml:space="preserve">0,50</w:t>
            </w:r>
          </w:p>
        </w:tc>
        <w:tc>
          <w:tcPr/>
          <w:p>
            <w:pPr>
              <w:pStyle w:val="Compact"/>
              <w:jc w:val="center"/>
            </w:pPr>
            <w:r>
              <w:t xml:space="preserve">0,20</w:t>
            </w:r>
          </w:p>
        </w:tc>
        <w:tc>
          <w:tcPr/>
          <w:p>
            <w:pPr>
              <w:pStyle w:val="Compact"/>
              <w:jc w:val="center"/>
            </w:pPr>
            <w:r>
              <w:t xml:space="preserve">0,35</w:t>
            </w:r>
          </w:p>
        </w:tc>
        <w:tc>
          <w:tcPr/>
          <w:p>
            <w:pPr>
              <w:pStyle w:val="Compact"/>
              <w:jc w:val="center"/>
            </w:pPr>
            <w:r>
              <w:t xml:space="preserve">0,60</w:t>
            </w:r>
          </w:p>
        </w:tc>
        <w:tc>
          <w:tcPr/>
          <w:p>
            <w:pPr>
              <w:pStyle w:val="Compact"/>
              <w:jc w:val="center"/>
            </w:pPr>
            <w:r>
              <w:t xml:space="preserve">0,12</w:t>
            </w:r>
          </w:p>
        </w:tc>
        <w:tc>
          <w:tcPr/>
          <w:p>
            <w:pPr>
              <w:pStyle w:val="Compact"/>
              <w:jc w:val="center"/>
            </w:pPr>
            <w:r>
              <w:t xml:space="preserve">3,6</w:t>
            </w:r>
          </w:p>
        </w:tc>
        <w:tc>
          <w:tcPr/>
          <w:p>
            <w:pPr>
              <w:pStyle w:val="Compact"/>
              <w:jc w:val="center"/>
            </w:pPr>
            <w:r>
              <w:t xml:space="preserve">7,2</w:t>
            </w:r>
          </w:p>
        </w:tc>
        <w:tc>
          <w:tcPr/>
          <w:p>
            <w:pPr>
              <w:pStyle w:val="Compact"/>
              <w:jc w:val="center"/>
            </w:pPr>
            <w:r>
              <w:t xml:space="preserve">0,25</w:t>
            </w:r>
          </w:p>
        </w:tc>
      </w:tr>
    </w:tbl>
    <w:p>
      <w:pPr>
        <w:pStyle w:val="BodyText"/>
      </w:pPr>
      <w:r>
        <w:t xml:space="preserve">Les paliers récents sont plus manœuvrants : bande plus basse, rampes plus rapides, pénalité xénon plus faible, budgets de modulation plus larges. Un palier inconnu bascule sur la classe 1300 MW, la plus fréquente.</w:t>
      </w:r>
    </w:p>
    <w:bookmarkEnd w:id="33"/>
    <w:bookmarkEnd w:id="34"/>
    <w:bookmarkStart w:id="35" w:name="X31049fd4b52927c351c02945e494727bbe166c6"/>
    <w:p>
      <w:pPr>
        <w:pStyle w:val="Heading2"/>
      </w:pPr>
      <w:r>
        <w:t xml:space="preserve">7.4 Paramètres de régime (annuels, à l’échelle du parc)</w:t>
      </w:r>
    </w:p>
    <w:tbl>
      <w:tblPr>
        <w:tblStyle w:val="Table"/>
        <w:tblW w:type="pct" w:w="5000"/>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Symbole</w:t>
            </w:r>
          </w:p>
        </w:tc>
        <w:tc>
          <w:tcPr/>
          <w:p>
            <w:pPr>
              <w:pStyle w:val="Compact"/>
              <w:jc w:val="left"/>
            </w:pPr>
            <w:r>
              <w:t xml:space="preserve">Valeur</w:t>
            </w:r>
          </w:p>
        </w:tc>
        <w:tc>
          <w:tcPr/>
          <w:p>
            <w:pPr>
              <w:pStyle w:val="Compact"/>
              <w:jc w:val="left"/>
            </w:pPr>
            <w:r>
              <w:t xml:space="preserve">Signification</w:t>
            </w:r>
          </w:p>
        </w:tc>
      </w:tr>
      <w:tr>
        <w:tc>
          <w:tcPr/>
          <w:p>
            <w:pPr>
              <w:pStyle w:val="Compact"/>
              <w:jc w:val="left"/>
            </w:pPr>
            <w:r>
              <w:rPr>
                <w:rStyle w:val="VerbatimChar"/>
              </w:rPr>
              <w:t xml:space="preserve">κ</w:t>
            </w:r>
            <w:r>
              <w:t xml:space="preserve"> </w:t>
            </w:r>
            <w:r>
              <w:t xml:space="preserve">(</w:t>
            </w:r>
            <w:r>
              <w:rPr>
                <w:rStyle w:val="VerbatimChar"/>
              </w:rPr>
              <w:t xml:space="preserve">u_commit_frac</w:t>
            </w:r>
            <w:r>
              <w:t xml:space="preserve">)</w:t>
            </w:r>
          </w:p>
        </w:tc>
        <w:tc>
          <w:tcPr/>
          <w:p>
            <w:pPr>
              <w:pStyle w:val="Compact"/>
              <w:jc w:val="left"/>
            </w:pPr>
            <w:r>
              <w:t xml:space="preserve">0,85</w:t>
            </w:r>
          </w:p>
        </w:tc>
        <w:tc>
          <w:tcPr/>
          <w:p>
            <w:pPr>
              <w:pStyle w:val="Compact"/>
              <w:jc w:val="left"/>
            </w:pPr>
            <w:r>
              <w:rPr>
                <w:b/>
                <w:bCs/>
              </w:rPr>
              <w:t xml:space="preserve">Plancher d’engagement du parc</w:t>
            </w:r>
            <w:r>
              <w:t xml:space="preserve"> </w:t>
            </w:r>
            <w:r>
              <w:t xml:space="preserve">: fraction minimale de la capacité disponible qui doit rester couplée au réseau. Empêche le LP de découpler massivement le parc pour éviter la modulation, ce qu’un opérateur ne fait pas.</w:t>
            </w:r>
          </w:p>
        </w:tc>
      </w:tr>
      <w:tr>
        <w:tc>
          <w:tcPr/>
          <w:p>
            <w:pPr>
              <w:pStyle w:val="Compact"/>
              <w:jc w:val="left"/>
            </w:pPr>
            <w:r>
              <w:rPr>
                <w:rStyle w:val="VerbatimChar"/>
              </w:rPr>
              <w:t xml:space="preserve">α_band_op</w:t>
            </w:r>
          </w:p>
        </w:tc>
        <w:tc>
          <w:tcPr/>
          <w:p>
            <w:pPr>
              <w:pStyle w:val="Compact"/>
              <w:jc w:val="left"/>
            </w:pPr>
            <w:r>
              <w:t xml:space="preserve">0,74</w:t>
            </w:r>
          </w:p>
        </w:tc>
        <w:tc>
          <w:tcPr/>
          <w:p>
            <w:pPr>
              <w:pStyle w:val="Compact"/>
              <w:jc w:val="left"/>
            </w:pPr>
            <w:r>
              <w:rPr>
                <w:b/>
                <w:bCs/>
              </w:rPr>
              <w:t xml:space="preserve">Plancher de bande au niveau du parc</w:t>
            </w:r>
            <w:r>
              <w:t xml:space="preserve">, distinct du minimum technique unitaire (0,55–0,60). Le parc entier ne descend jamais simultanément au minimum de chaque tranche ; ce paramètre traduit cette non-simultanéité.</w:t>
            </w:r>
          </w:p>
        </w:tc>
      </w:tr>
      <w:tr>
        <w:tc>
          <w:tcPr/>
          <w:p>
            <w:pPr>
              <w:pStyle w:val="Compact"/>
              <w:jc w:val="left"/>
            </w:pPr>
            <w:r>
              <w:rPr>
                <w:rStyle w:val="VerbatimChar"/>
              </w:rPr>
              <w:t xml:space="preserve">c_mod</w:t>
            </w:r>
          </w:p>
        </w:tc>
        <w:tc>
          <w:tcPr/>
          <w:p>
            <w:pPr>
              <w:pStyle w:val="Compact"/>
              <w:jc w:val="left"/>
            </w:pPr>
            <w:r>
              <w:t xml:space="preserve">annuel</w:t>
            </w:r>
          </w:p>
        </w:tc>
        <w:tc>
          <w:tcPr/>
          <w:p>
            <w:pPr>
              <w:pStyle w:val="Compact"/>
              <w:jc w:val="left"/>
            </w:pPr>
            <w:r>
              <w:rPr>
                <w:b/>
                <w:bCs/>
              </w:rPr>
              <w:t xml:space="preserve">Coût de la modulation profonde</w:t>
            </w:r>
            <w:r>
              <w:t xml:space="preserve"> </w:t>
            </w:r>
            <w:r>
              <w:t xml:space="preserve">(€/MWh). C’est lui qui, retranché au SRMC, produit l’offre implicite négative.</w:t>
            </w:r>
          </w:p>
        </w:tc>
      </w:tr>
      <w:tr>
        <w:tc>
          <w:tcPr/>
          <w:p>
            <w:pPr>
              <w:pStyle w:val="Compact"/>
              <w:jc w:val="left"/>
            </w:pPr>
            <w:r>
              <w:rPr>
                <w:rStyle w:val="VerbatimChar"/>
              </w:rPr>
              <w:t xml:space="preserve">c_start</w:t>
            </w:r>
          </w:p>
        </w:tc>
        <w:tc>
          <w:tcPr/>
          <w:p>
            <w:pPr>
              <w:pStyle w:val="Compact"/>
              <w:jc w:val="left"/>
            </w:pPr>
            <w:r>
              <w:t xml:space="preserve">annuel, par classe</w:t>
            </w:r>
          </w:p>
        </w:tc>
        <w:tc>
          <w:tcPr/>
          <w:p>
            <w:pPr>
              <w:pStyle w:val="Compact"/>
              <w:jc w:val="left"/>
            </w:pPr>
            <w:r>
              <w:t xml:space="preserve">Coût de démarrage (€/MW).</w:t>
            </w:r>
          </w:p>
        </w:tc>
      </w:tr>
      <w:tr>
        <w:tc>
          <w:tcPr/>
          <w:p>
            <w:pPr>
              <w:pStyle w:val="Compact"/>
              <w:jc w:val="left"/>
            </w:pPr>
            <w:r>
              <w:rPr>
                <w:rStyle w:val="VerbatimChar"/>
              </w:rPr>
              <w:t xml:space="preserve">r_up_req</w:t>
            </w:r>
            <w:r>
              <w:t xml:space="preserve"> </w:t>
            </w:r>
            <w:r>
              <w:t xml:space="preserve">/</w:t>
            </w:r>
            <w:r>
              <w:t xml:space="preserve"> </w:t>
            </w:r>
            <w:r>
              <w:rPr>
                <w:rStyle w:val="VerbatimChar"/>
              </w:rPr>
              <w:t xml:space="preserve">r_down_req</w:t>
            </w:r>
          </w:p>
        </w:tc>
        <w:tc>
          <w:tcPr/>
          <w:p>
            <w:pPr>
              <w:pStyle w:val="Compact"/>
              <w:jc w:val="left"/>
            </w:pPr>
            <w:r>
              <w:t xml:space="preserve">annuel</w:t>
            </w:r>
          </w:p>
        </w:tc>
        <w:tc>
          <w:tcPr/>
          <w:p>
            <w:pPr>
              <w:pStyle w:val="Compact"/>
              <w:jc w:val="left"/>
            </w:pPr>
            <w:r>
              <w:t xml:space="preserve">Exigences de réserve à la hausse et à la baisse (MW) portées par le parc (C6). Le headroom hydraulique peut y contribuer.</w:t>
            </w:r>
          </w:p>
        </w:tc>
      </w:tr>
      <w:tr>
        <w:tc>
          <w:tcPr/>
          <w:p>
            <w:pPr>
              <w:pStyle w:val="Compact"/>
              <w:jc w:val="left"/>
            </w:pPr>
            <w:r>
              <w:rPr>
                <w:rStyle w:val="VerbatimChar"/>
              </w:rPr>
              <w:t xml:space="preserve">p_minstab</w:t>
            </w:r>
          </w:p>
        </w:tc>
        <w:tc>
          <w:tcPr/>
          <w:p>
            <w:pPr>
              <w:pStyle w:val="Compact"/>
              <w:jc w:val="left"/>
            </w:pPr>
            <w:r>
              <w:t xml:space="preserve">annuel</w:t>
            </w:r>
          </w:p>
        </w:tc>
        <w:tc>
          <w:tcPr/>
          <w:p>
            <w:pPr>
              <w:pStyle w:val="Compact"/>
              <w:jc w:val="left"/>
            </w:pPr>
            <w:r>
              <w:t xml:space="preserve">Plancher nucléaire de</w:t>
            </w:r>
            <w:r>
              <w:t xml:space="preserve"> </w:t>
            </w:r>
            <w:r>
              <w:rPr>
                <w:b/>
                <w:bCs/>
              </w:rPr>
              <w:t xml:space="preserve">stabilité du réseau</w:t>
            </w:r>
            <w:r>
              <w:t xml:space="preserve"> </w:t>
            </w:r>
            <w:r>
              <w:t xml:space="preserve">(MW) : inertie et tenue de fréquence (C7).</w:t>
            </w:r>
          </w:p>
        </w:tc>
      </w:tr>
    </w:tbl>
    <w:bookmarkEnd w:id="35"/>
    <w:bookmarkStart w:id="36" w:name="familles-de-contraintes"/>
    <w:p>
      <w:pPr>
        <w:pStyle w:val="Heading2"/>
      </w:pPr>
      <w:r>
        <w:t xml:space="preserve">7.5 Familles de contraintes</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jc w:val="left"/>
            </w:pPr>
            <w:r>
              <w:t xml:space="preserve">Famille</w:t>
            </w:r>
          </w:p>
        </w:tc>
        <w:tc>
          <w:tcPr/>
          <w:p>
            <w:pPr>
              <w:pStyle w:val="Compact"/>
              <w:jc w:val="left"/>
            </w:pPr>
            <w:r>
              <w:t xml:space="preserve">Objet</w:t>
            </w:r>
          </w:p>
        </w:tc>
      </w:tr>
      <w:tr>
        <w:tc>
          <w:tcPr/>
          <w:p>
            <w:pPr>
              <w:pStyle w:val="Compact"/>
              <w:jc w:val="left"/>
            </w:pPr>
            <w:r>
              <w:rPr>
                <w:b/>
                <w:bCs/>
              </w:rPr>
              <w:t xml:space="preserve">C1</w:t>
            </w:r>
          </w:p>
        </w:tc>
        <w:tc>
          <w:tcPr/>
          <w:p>
            <w:pPr>
              <w:pStyle w:val="Compact"/>
              <w:jc w:val="left"/>
            </w:pPr>
            <w:r>
              <w:t xml:space="preserve">Bande à deux étages : plancher normal</w:t>
            </w:r>
            <w:r>
              <w:t xml:space="preserve"> </w:t>
            </w:r>
            <w:r>
              <w:rPr>
                <w:rStyle w:val="VerbatimChar"/>
              </w:rPr>
              <w:t xml:space="preserve">α_band</w:t>
            </w:r>
            <w:r>
              <w:t xml:space="preserve">, enfoncement</w:t>
            </w:r>
            <w:r>
              <w:t xml:space="preserve"> </w:t>
            </w:r>
            <w:r>
              <w:rPr>
                <w:rStyle w:val="VerbatimChar"/>
              </w:rPr>
              <w:t xml:space="preserve">d</w:t>
            </w:r>
            <w:r>
              <w:t xml:space="preserve"> </w:t>
            </w:r>
            <w:r>
              <w:t xml:space="preserve">borné par</w:t>
            </w:r>
            <w:r>
              <w:t xml:space="preserve"> </w:t>
            </w:r>
            <w:r>
              <w:rPr>
                <w:rStyle w:val="VerbatimChar"/>
              </w:rPr>
              <w:t xml:space="preserve">α_tech</w:t>
            </w:r>
            <w:r>
              <w:t xml:space="preserve">.</w:t>
            </w:r>
          </w:p>
        </w:tc>
      </w:tr>
      <w:tr>
        <w:tc>
          <w:tcPr/>
          <w:p>
            <w:pPr>
              <w:pStyle w:val="Compact"/>
              <w:jc w:val="left"/>
            </w:pPr>
            <w:r>
              <w:rPr>
                <w:b/>
                <w:bCs/>
              </w:rPr>
              <w:t xml:space="preserve">C2a / C2b</w:t>
            </w:r>
          </w:p>
        </w:tc>
        <w:tc>
          <w:tcPr/>
          <w:p>
            <w:pPr>
              <w:pStyle w:val="Compact"/>
              <w:jc w:val="left"/>
            </w:pPr>
            <w:r>
              <w:t xml:space="preserve">Budgets énergétiques de modulation profonde, glissant 8 h et journalier.</w:t>
            </w:r>
          </w:p>
        </w:tc>
      </w:tr>
      <w:tr>
        <w:tc>
          <w:tcPr/>
          <w:p>
            <w:pPr>
              <w:pStyle w:val="Compact"/>
              <w:jc w:val="left"/>
            </w:pPr>
            <w:r>
              <w:rPr>
                <w:b/>
                <w:bCs/>
              </w:rPr>
              <w:t xml:space="preserve">C3</w:t>
            </w:r>
          </w:p>
        </w:tc>
        <w:tc>
          <w:tcPr/>
          <w:p>
            <w:pPr>
              <w:pStyle w:val="Compact"/>
              <w:jc w:val="left"/>
            </w:pPr>
            <w:r>
              <w:t xml:space="preserve">Rampes horaires, avec pénalité xénon sur la montée.</w:t>
            </w:r>
          </w:p>
        </w:tc>
      </w:tr>
      <w:tr>
        <w:tc>
          <w:tcPr/>
          <w:p>
            <w:pPr>
              <w:pStyle w:val="Compact"/>
              <w:jc w:val="left"/>
            </w:pPr>
            <w:r>
              <w:rPr>
                <w:b/>
                <w:bCs/>
              </w:rPr>
              <w:t xml:space="preserve">C5</w:t>
            </w:r>
          </w:p>
        </w:tc>
        <w:tc>
          <w:tcPr/>
          <w:p>
            <w:pPr>
              <w:pStyle w:val="Compact"/>
              <w:jc w:val="left"/>
            </w:pPr>
            <w:r>
              <w:t xml:space="preserve">Coûts de démarrage, durée minimale à l’arrêt, rampe de re-couplage.</w:t>
            </w:r>
          </w:p>
        </w:tc>
      </w:tr>
      <w:tr>
        <w:tc>
          <w:tcPr/>
          <w:p>
            <w:pPr>
              <w:pStyle w:val="Compact"/>
              <w:jc w:val="left"/>
            </w:pPr>
            <w:r>
              <w:rPr>
                <w:b/>
                <w:bCs/>
              </w:rPr>
              <w:t xml:space="preserve">C6</w:t>
            </w:r>
          </w:p>
        </w:tc>
        <w:tc>
          <w:tcPr/>
          <w:p>
            <w:pPr>
              <w:pStyle w:val="Compact"/>
              <w:jc w:val="left"/>
            </w:pPr>
            <w:r>
              <w:t xml:space="preserve">Réserves à la hausse et à la baisse.</w:t>
            </w:r>
          </w:p>
        </w:tc>
      </w:tr>
      <w:tr>
        <w:tc>
          <w:tcPr/>
          <w:p>
            <w:pPr>
              <w:pStyle w:val="Compact"/>
              <w:jc w:val="left"/>
            </w:pPr>
            <w:r>
              <w:rPr>
                <w:b/>
                <w:bCs/>
              </w:rPr>
              <w:t xml:space="preserve">C7</w:t>
            </w:r>
          </w:p>
        </w:tc>
        <w:tc>
          <w:tcPr/>
          <w:p>
            <w:pPr>
              <w:pStyle w:val="Compact"/>
              <w:jc w:val="left"/>
            </w:pPr>
            <w:r>
              <w:t xml:space="preserve">Plancher nucléaire de stabilité réseau.</w:t>
            </w:r>
          </w:p>
        </w:tc>
      </w:tr>
      <w:tr>
        <w:tc>
          <w:tcPr/>
          <w:p>
            <w:pPr>
              <w:pStyle w:val="Compact"/>
              <w:jc w:val="left"/>
            </w:pPr>
            <w:r>
              <w:rPr>
                <w:b/>
                <w:bCs/>
              </w:rPr>
              <w:t xml:space="preserve">F5</w:t>
            </w:r>
          </w:p>
        </w:tc>
        <w:tc>
          <w:tcPr/>
          <w:p>
            <w:pPr>
              <w:pStyle w:val="Compact"/>
              <w:jc w:val="left"/>
            </w:pPr>
            <w:r>
              <w:t xml:space="preserve">Report d’état d’une fenêtre hebdomadaire à la suivante (couplage</w:t>
            </w:r>
            <w:r>
              <w:t xml:space="preserve"> </w:t>
            </w:r>
            <w:r>
              <w:rPr>
                <w:rStyle w:val="VerbatimChar"/>
              </w:rPr>
              <w:t xml:space="preserve">u</w:t>
            </w:r>
            <w:r>
              <w:t xml:space="preserve">, puissance, historique de</w:t>
            </w:r>
            <w:r>
              <w:t xml:space="preserve"> </w:t>
            </w:r>
            <w:r>
              <w:rPr>
                <w:rStyle w:val="VerbatimChar"/>
              </w:rPr>
              <w:t xml:space="preserve">d</w:t>
            </w:r>
            <w:r>
              <w:t xml:space="preserve">).</w:t>
            </w:r>
          </w:p>
        </w:tc>
      </w:tr>
    </w:tbl>
    <w:bookmarkEnd w:id="36"/>
    <w:bookmarkStart w:id="37" w:name="garde-fous"/>
    <w:p>
      <w:pPr>
        <w:pStyle w:val="Heading2"/>
      </w:pPr>
      <w:r>
        <w:t xml:space="preserve">7.6 Garde-fous</w:t>
      </w:r>
    </w:p>
    <w:p>
      <w:pPr>
        <w:pStyle w:val="FirstParagraph"/>
      </w:pPr>
      <w:r>
        <w:rPr>
          <w:b/>
          <w:bCs/>
        </w:rPr>
        <w:t xml:space="preserve">Plafonnement de β.</w:t>
      </w:r>
      <w:r>
        <w:t xml:space="preserve"> </w:t>
      </w:r>
      <w:r>
        <w:t xml:space="preserve">La pénalité xénon est bornée par</w:t>
      </w:r>
      <w:r>
        <w:t xml:space="preserve"> </w:t>
      </w:r>
      <w:r>
        <w:rPr>
          <w:rStyle w:val="VerbatimChar"/>
        </w:rPr>
        <w:t xml:space="preserve">r_up / (8 × (α_band − α_tech))</w:t>
      </w:r>
      <w:r>
        <w:t xml:space="preserve">. Sans ce plafond, une modulation profonde soutenue force la puissance à la baisse contre le plancher de bande d’un parc engagé : le problème devient infaisable — une « spirale xénon » numérique sans réalité physique.</w:t>
      </w:r>
    </w:p>
    <w:p>
      <w:pPr>
        <w:pStyle w:val="BodyText"/>
      </w:pPr>
      <w:r>
        <w:rPr>
          <w:b/>
          <w:bCs/>
        </w:rPr>
        <w:t xml:space="preserve">Repli de couture.</w:t>
      </w:r>
      <w:r>
        <w:t xml:space="preserve"> </w:t>
      </w:r>
      <w:r>
        <w:t xml:space="preserve">L’état est repris d’une fenêtre à l’autre ; si cette reprise sur-contraint la fenêtre, le solveur repart d’un état froid. Ce repli est voulu et documenté : il ne perd aucune fenêtre.</w:t>
      </w:r>
    </w:p>
    <w:p>
      <w:pPr>
        <w:pStyle w:val="BodyText"/>
      </w:pPr>
      <w:r>
        <w:rPr>
          <w:b/>
          <w:bCs/>
        </w:rPr>
        <w:t xml:space="preserve">Rigidité fossile.</w:t>
      </w:r>
      <w:r>
        <w:t xml:space="preserve"> </w:t>
      </w:r>
      <w:r>
        <w:t xml:space="preserve">Les groupes thermiques français portent aussi un minimum technique (gaz 0,45 ; TAC 0,20 ; charbon 0,40 ; lignite 0,50 ; fioul 0,40 ; biomasse 0,50) et un coût de démarrage, avec un re-couplage plus rapide que le nucléaire (0,50) puisqu’il n’y a pas d’effet xénon.</w:t>
      </w:r>
    </w:p>
    <w:p>
      <w:r>
        <w:pict>
          <v:rect style="width:0;height:1.5pt" o:hralign="center" o:hrstd="t" o:hr="t"/>
        </w:pict>
      </w:r>
    </w:p>
    <w:bookmarkEnd w:id="37"/>
    <w:bookmarkEnd w:id="38"/>
    <w:bookmarkStart w:id="39" w:name="cas-particulier-britannique"/>
    <w:p>
      <w:pPr>
        <w:pStyle w:val="Heading1"/>
      </w:pPr>
      <w:r>
        <w:t xml:space="preserve">8. Cas particulier britannique</w:t>
      </w:r>
    </w:p>
    <w:p>
      <w:pPr>
        <w:pStyle w:val="FirstParagraph"/>
      </w:pPr>
      <w:r>
        <w:t xml:space="preserve">La Grande-Bretagne a quitté la plateforme de transparence ENTSO-E après le Brexit ; ses données proviennent d’Elexon/BMRS. Deux corrections en découlent.</w:t>
      </w:r>
    </w:p>
    <w:p>
      <w:pPr>
        <w:pStyle w:val="BodyText"/>
      </w:pPr>
      <w:r>
        <w:rPr>
          <w:b/>
          <w:bCs/>
        </w:rPr>
        <w:t xml:space="preserve">Devise.</w:t>
      </w:r>
      <w:r>
        <w:t xml:space="preserve"> </w:t>
      </w:r>
      <w:r>
        <w:t xml:space="preserve">Les prix britanniques sont cotés en GBP/MWh et convertis en EUR par la série de référence quotidienne de la BCE. Le module d’ingestion</w:t>
      </w:r>
      <w:r>
        <w:t xml:space="preserve"> </w:t>
      </w:r>
      <w:r>
        <w:rPr>
          <w:b/>
          <w:bCs/>
        </w:rPr>
        <w:t xml:space="preserve">refuse d’écrire sans taux de change</w:t>
      </w:r>
      <w:r>
        <w:t xml:space="preserve">, afin qu’un mélange de devises ne puisse pas atteindre la base sans être vu.</w:t>
      </w:r>
    </w:p>
    <w:p>
      <w:pPr>
        <w:pStyle w:val="BodyText"/>
      </w:pPr>
      <w:r>
        <w:rPr>
          <w:b/>
          <w:bCs/>
        </w:rPr>
        <w:t xml:space="preserve">Production raccordée en distribution.</w:t>
      </w:r>
      <w:r>
        <w:t xml:space="preserve"> </w:t>
      </w:r>
      <w:r>
        <w:t xml:space="preserve">La demande britannique publiée (ITSDO) est mesurée au périmètre du</w:t>
      </w:r>
      <w:r>
        <w:t xml:space="preserve"> </w:t>
      </w:r>
      <w:r>
        <w:rPr>
          <w:b/>
          <w:bCs/>
        </w:rPr>
        <w:t xml:space="preserve">réseau de transport</w:t>
      </w:r>
      <w:r>
        <w:t xml:space="preserve">, donc déjà nette du parc raccordé en distribution, alors que la production publiée ne couvre que le transport. Les deux séries ne bouclent pas : l’écart mesuré atteint</w:t>
      </w:r>
      <w:r>
        <w:t xml:space="preserve"> </w:t>
      </w:r>
      <w:r>
        <w:rPr>
          <w:b/>
          <w:bCs/>
        </w:rPr>
        <w:t xml:space="preserve">5 851 MW en 2024, un cinquième du système</w:t>
      </w:r>
      <w:r>
        <w:t xml:space="preserve">. Il est reconstitué à partir du bilan propre de la zone et réintroduit dans le modèle.</w:t>
      </w:r>
    </w:p>
    <w:p>
      <w:r>
        <w:pict>
          <v:rect style="width:0;height:1.5pt" o:hralign="center" o:hrstd="t" o:hr="t"/>
        </w:pict>
      </w:r>
    </w:p>
    <w:bookmarkEnd w:id="39"/>
    <w:bookmarkStart w:id="40" w:name="projection"/>
    <w:p>
      <w:pPr>
        <w:pStyle w:val="Heading1"/>
      </w:pPr>
      <w:r>
        <w:t xml:space="preserve">9. Projection</w:t>
      </w:r>
    </w:p>
    <w:p>
      <w:pPr>
        <w:pStyle w:val="Compact"/>
        <w:numPr>
          <w:ilvl w:val="0"/>
          <w:numId w:val="1007"/>
        </w:numPr>
      </w:pPr>
      <w:r>
        <w:t xml:space="preserve">Demande et capacités installées évoluées par</w:t>
      </w:r>
      <w:r>
        <w:t xml:space="preserve"> </w:t>
      </w:r>
      <w:r>
        <w:rPr>
          <w:b/>
          <w:bCs/>
        </w:rPr>
        <w:t xml:space="preserve">ratios TYNDP</w:t>
      </w:r>
      <w:r>
        <w:t xml:space="preserve">, interpolés linéairement entre années d’ancrage.</w:t>
      </w:r>
    </w:p>
    <w:p>
      <w:pPr>
        <w:pStyle w:val="Compact"/>
        <w:numPr>
          <w:ilvl w:val="0"/>
          <w:numId w:val="1007"/>
        </w:numPr>
      </w:pPr>
      <w:r>
        <w:rPr>
          <w:b/>
          <w:bCs/>
        </w:rPr>
        <w:t xml:space="preserve">Interconnexions et nucléaire neuf</w:t>
      </w:r>
      <w:r>
        <w:t xml:space="preserve"> </w:t>
      </w:r>
      <w:r>
        <w:t xml:space="preserve">traités en marches discrètes, projet par projet, avec année de mise en service — jamais interpolés.</w:t>
      </w:r>
    </w:p>
    <w:p>
      <w:pPr>
        <w:pStyle w:val="Compact"/>
        <w:numPr>
          <w:ilvl w:val="0"/>
          <w:numId w:val="1007"/>
        </w:numPr>
      </w:pPr>
      <w:r>
        <w:t xml:space="preserve">Les cohortes de soutien aux renouvelables</w:t>
      </w:r>
      <w:r>
        <w:t xml:space="preserve"> </w:t>
      </w:r>
      <w:r>
        <w:rPr>
          <w:b/>
          <w:bCs/>
        </w:rPr>
        <w:t xml:space="preserve">vieillissent</w:t>
      </w:r>
      <w:r>
        <w:t xml:space="preserve"> </w:t>
      </w:r>
      <w:r>
        <w:t xml:space="preserve">: la part sous obligation d’achat s’éteint progressivement au profit du merchant.</w:t>
      </w:r>
    </w:p>
    <w:p>
      <w:r>
        <w:pict>
          <v:rect style="width:0;height:1.5pt" o:hralign="center" o:hrstd="t" o:hr="t"/>
        </w:pict>
      </w:r>
    </w:p>
    <w:bookmarkEnd w:id="40"/>
    <w:bookmarkStart w:id="41" w:name="limites-assumées"/>
    <w:p>
      <w:pPr>
        <w:pStyle w:val="Heading1"/>
      </w:pPr>
      <w:r>
        <w:t xml:space="preserve">10. Limites assumées</w:t>
      </w:r>
    </w:p>
    <w:p>
      <w:pPr>
        <w:pStyle w:val="FirstParagraph"/>
      </w:pPr>
      <w:r>
        <w:t xml:space="preserve">Ces limites sont connues et acceptées ; elles sont listées ici pour que la lecture des résultats en tienne compte.</w:t>
      </w:r>
    </w:p>
    <w:p>
      <w:pPr>
        <w:pStyle w:val="Compact"/>
        <w:numPr>
          <w:ilvl w:val="0"/>
          <w:numId w:val="1008"/>
        </w:numPr>
      </w:pPr>
      <w:r>
        <w:t xml:space="preserve">Pas de co-optimisation énergie/réserves : la marge de réserve est statique.</w:t>
      </w:r>
    </w:p>
    <w:p>
      <w:pPr>
        <w:pStyle w:val="Compact"/>
        <w:numPr>
          <w:ilvl w:val="0"/>
          <w:numId w:val="1008"/>
        </w:numPr>
      </w:pPr>
      <w:r>
        <w:t xml:space="preserve">Pas de réseau intra-zonal : chaque zone est un nœud unique.</w:t>
      </w:r>
    </w:p>
    <w:p>
      <w:pPr>
        <w:pStyle w:val="Compact"/>
        <w:numPr>
          <w:ilvl w:val="0"/>
          <w:numId w:val="1008"/>
        </w:numPr>
      </w:pPr>
      <w:r>
        <w:t xml:space="preserve">Pas d’offre stratégique : tous les acteurs offrent à leur coût marginal.</w:t>
      </w:r>
    </w:p>
    <w:p>
      <w:pPr>
        <w:pStyle w:val="Compact"/>
        <w:numPr>
          <w:ilvl w:val="0"/>
          <w:numId w:val="1008"/>
        </w:numPr>
      </w:pPr>
      <w:r>
        <w:t xml:space="preserve">Pas d’arbitrage de stockage : les STEP sont hors dispatch.</w:t>
      </w:r>
    </w:p>
    <w:p>
      <w:pPr>
        <w:pStyle w:val="Compact"/>
        <w:numPr>
          <w:ilvl w:val="0"/>
          <w:numId w:val="1008"/>
        </w:numPr>
      </w:pPr>
      <w:r>
        <w:t xml:space="preserve">LP pur : l’engagement est fractionnaire, ce qu’un modèle en nombres entiers interdirait.</w:t>
      </w:r>
    </w:p>
    <w:p>
      <w:pPr>
        <w:pStyle w:val="Compact"/>
        <w:numPr>
          <w:ilvl w:val="0"/>
          <w:numId w:val="1008"/>
        </w:numPr>
      </w:pPr>
      <w:r>
        <w:t xml:space="preserve">Environ 2,8 GW d’interconnexion britannique aboutissent à des zones non modélisées (Norvège, Irlande) ; mesurées sur 2024, elles se compensent à +505 MW net.</w:t>
      </w:r>
    </w:p>
    <w:p>
      <w:pPr>
        <w:pStyle w:val="Compact"/>
        <w:numPr>
          <w:ilvl w:val="0"/>
          <w:numId w:val="1008"/>
        </w:numPr>
      </w:pPr>
      <w:r>
        <w:t xml:space="preserve">L’adéquation propre de la Grande-Bretagne n’est pas testée par le modèle.</w:t>
      </w:r>
    </w:p>
    <w:p>
      <w:pPr>
        <w:pStyle w:val="FirstParagraph"/>
      </w:pPr>
      <w:r>
        <w:rPr>
          <w:i/>
          <w:iCs/>
        </w:rPr>
        <w:t xml:space="preserve">Écarts résiduels connus au moment de la rédaction : IT-Nord sur-imprime les heures de prix bas d’un facteur voisin de 9 ; DE-LU ressort sous-évalué d’environ 24 €/MWh.</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dispatch européen</dc:title>
  <dc:creator/>
  <dc:language>fr-FR</dc:language>
  <cp:keywords/>
  <dcterms:created xsi:type="dcterms:W3CDTF">2026-08-10T10:14:24Z</dcterms:created>
  <dcterms:modified xsi:type="dcterms:W3CDTF">2026-08-10T10:14:24Z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Août 2026</vt:lpwstr>
  </property>
  <property fmtid="{D5CDD505-2E9C-101B-9397-08002B2CF9AE}" pid="3" name="subtitle">
    <vt:lpwstr>Hypothèses de modélisation et contraintes d’exploitation — étape (vi), formation des prix spot horaires zonaux</vt:lpwstr>
  </property>
</Properties>
</file>