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Phantom Engagement Re‑Engagement Tool</w:t>
      </w:r>
    </w:p>
    <w:p>
      <w:r>
        <w:pict>
          <v:rect style="width:0;height:1.5pt" o:hralign="center" o:hrstd="t" o:hr="t"/>
        </w:pict>
      </w:r>
    </w:p>
    <w:bookmarkEnd w:id="20"/>
    <w:bookmarkStart w:id="21" w:name="purpose-problem-statement"/>
    <w:p>
      <w:pPr>
        <w:pStyle w:val="Heading2"/>
      </w:pPr>
      <w:r>
        <w:t xml:space="preserve">1. Purpose &amp; Problem Statement</w:t>
      </w:r>
    </w:p>
    <w:p>
      <w:pPr>
        <w:pStyle w:val="FirstParagraph"/>
      </w:pPr>
      <w:r>
        <w:t xml:space="preserve">Modern email privacy changes have fundamentally altered how engagement signals behave. Opens can no longer be reliably interpreted as human attention, which introduces a large gray area between traditionally defined</w:t>
      </w:r>
      <w:r>
        <w:t xml:space="preserve"> </w:t>
      </w:r>
      <w:r>
        <w:t xml:space="preserve">“engaged”</w:t>
      </w:r>
      <w:r>
        <w:t xml:space="preserve"> </w:t>
      </w:r>
      <w:r>
        <w:t xml:space="preserve">and</w:t>
      </w:r>
      <w:r>
        <w:t xml:space="preserve"> </w:t>
      </w:r>
      <w:r>
        <w:t xml:space="preserve">“unengaged”</w:t>
      </w:r>
      <w:r>
        <w:t xml:space="preserve"> </w:t>
      </w:r>
      <w:r>
        <w:t xml:space="preserve">subscribers.</w:t>
      </w:r>
    </w:p>
    <w:p>
      <w:pPr>
        <w:pStyle w:val="BodyText"/>
      </w:pPr>
      <w:r>
        <w:t xml:space="preserve">The purpose of this tool is to help email senders:</w:t>
      </w:r>
      <w:r>
        <w:t xml:space="preserve"> </w:t>
      </w:r>
      <w:r>
        <w:t xml:space="preserve">- Safely classify subscribers in today’s environment</w:t>
      </w:r>
      <w:r>
        <w:t xml:space="preserve"> </w:t>
      </w:r>
      <w:r>
        <w:t xml:space="preserve">- Avoid damaging relationships with silent but engaged readers (</w:t>
      </w:r>
      <w:r>
        <w:t xml:space="preserve">“Phantom Engaged”</w:t>
      </w:r>
      <w:r>
        <w:t xml:space="preserve">)</w:t>
      </w:r>
      <w:r>
        <w:t xml:space="preserve"> </w:t>
      </w:r>
      <w:r>
        <w:t xml:space="preserve">- Execute re‑engagement in a conservative, reputation‑safe manner</w:t>
      </w:r>
      <w:r>
        <w:t xml:space="preserve"> </w:t>
      </w:r>
      <w:r>
        <w:t xml:space="preserve">- Stop infinite re‑engagement loops that quietly harm deliverability</w:t>
      </w:r>
    </w:p>
    <w:p>
      <w:pPr>
        <w:pStyle w:val="BodyText"/>
      </w:pPr>
      <w:r>
        <w:t xml:space="preserve">This tool prioritizes</w:t>
      </w:r>
      <w:r>
        <w:t xml:space="preserve"> </w:t>
      </w:r>
      <w:r>
        <w:rPr>
          <w:b/>
          <w:bCs/>
        </w:rPr>
        <w:t xml:space="preserve">human judgment encoded into process</w:t>
      </w:r>
      <w:r>
        <w:t xml:space="preserve">, not automation for its own sake.</w:t>
      </w:r>
    </w:p>
    <w:p>
      <w:r>
        <w:pict>
          <v:rect style="width:0;height:1.5pt" o:hralign="center" o:hrstd="t" o:hr="t"/>
        </w:pict>
      </w:r>
    </w:p>
    <w:bookmarkEnd w:id="21"/>
    <w:bookmarkStart w:id="22" w:name="core-design-principles-nonnegotiable"/>
    <w:p>
      <w:pPr>
        <w:pStyle w:val="Heading2"/>
      </w:pPr>
      <w:r>
        <w:t xml:space="preserve">2. Core Design Principles (Non‑Negotiable)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reliance on opens as proof of engagement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guessing internal list health beyond user‑reported inputs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is controlled through exposure limits, not optimism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Re‑engagement is finite, not cyclical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intent outweighs all inferred signals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tool must remain safe even if the user misunderstands their own data</w:t>
      </w:r>
    </w:p>
    <w:p>
      <w:r>
        <w:pict>
          <v:rect style="width:0;height:1.5pt" o:hralign="center" o:hrstd="t" o:hr="t"/>
        </w:pict>
      </w:r>
    </w:p>
    <w:bookmarkEnd w:id="22"/>
    <w:bookmarkStart w:id="23" w:name="highlevel-tool-flow"/>
    <w:p>
      <w:pPr>
        <w:pStyle w:val="Heading2"/>
      </w:pPr>
      <w:r>
        <w:t xml:space="preserve">3. High‑Level Tool Flow</w:t>
      </w:r>
    </w:p>
    <w:p>
      <w:pPr>
        <w:pStyle w:val="Compact"/>
        <w:numPr>
          <w:ilvl w:val="0"/>
          <w:numId w:val="1002"/>
        </w:numPr>
      </w:pPr>
      <w:r>
        <w:t xml:space="preserve">User answers a short set of structured questions (left side)</w:t>
      </w:r>
    </w:p>
    <w:p>
      <w:pPr>
        <w:pStyle w:val="Compact"/>
        <w:numPr>
          <w:ilvl w:val="0"/>
          <w:numId w:val="1002"/>
        </w:numPr>
      </w:pPr>
      <w:r>
        <w:t xml:space="preserve">Tool generates a deterministic, conservative re‑engagement framework (right side)</w:t>
      </w:r>
    </w:p>
    <w:p>
      <w:pPr>
        <w:pStyle w:val="Compact"/>
        <w:numPr>
          <w:ilvl w:val="0"/>
          <w:numId w:val="1002"/>
        </w:numPr>
      </w:pPr>
      <w:r>
        <w:t xml:space="preserve">Framework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rules exist before instructing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do</w:t>
      </w:r>
    </w:p>
    <w:p>
      <w:pPr>
        <w:pStyle w:val="Compact"/>
        <w:numPr>
          <w:ilvl w:val="0"/>
          <w:numId w:val="1002"/>
        </w:numPr>
      </w:pPr>
      <w:r>
        <w:t xml:space="preserve">Execution guidance emphasizes pacing, suppression, and stopping conditions</w:t>
      </w:r>
    </w:p>
    <w:p>
      <w:r>
        <w:pict>
          <v:rect style="width:0;height:1.5pt" o:hralign="center" o:hrstd="t" o:hr="t"/>
        </w:pict>
      </w:r>
    </w:p>
    <w:bookmarkEnd w:id="23"/>
    <w:bookmarkStart w:id="30" w:name="leftside-inputs-locked"/>
    <w:p>
      <w:pPr>
        <w:pStyle w:val="Heading2"/>
      </w:pPr>
      <w:r>
        <w:t xml:space="preserve">4. Left‑Side Inputs (Locked)</w:t>
      </w:r>
    </w:p>
    <w:p>
      <w:pPr>
        <w:pStyle w:val="FirstParagraph"/>
      </w:pPr>
      <w:r>
        <w:t xml:space="preserve">The tool collects</w:t>
      </w:r>
      <w:r>
        <w:t xml:space="preserve"> </w:t>
      </w:r>
      <w:r>
        <w:rPr>
          <w:b/>
          <w:bCs/>
        </w:rPr>
        <w:t xml:space="preserve">six inputs only</w:t>
      </w:r>
      <w:r>
        <w:t xml:space="preserve">. These inputs are intentionally approximate and do not require precision.</w:t>
      </w:r>
    </w:p>
    <w:bookmarkStart w:id="24" w:name="sending-frequency"/>
    <w:p>
      <w:pPr>
        <w:pStyle w:val="Heading3"/>
      </w:pPr>
      <w:r>
        <w:t xml:space="preserve">4.1 Sending Frequency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 Daily</w:t>
      </w:r>
      <w:r>
        <w:t xml:space="preserve"> </w:t>
      </w:r>
      <w:r>
        <w:t xml:space="preserve">- Weekly</w:t>
      </w:r>
      <w:r>
        <w:t xml:space="preserve"> </w:t>
      </w:r>
      <w:r>
        <w:t xml:space="preserve">- Monthly or less</w:t>
      </w:r>
      <w:r>
        <w:t xml:space="preserve"> </w:t>
      </w:r>
      <w:r>
        <w:t xml:space="preserve">- Irregular / inconsistent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Set classification timeframes</w:t>
      </w:r>
      <w:r>
        <w:t xml:space="preserve"> </w:t>
      </w:r>
      <w:r>
        <w:t xml:space="preserve">- Adjust expectations for silence vs disengagement</w:t>
      </w:r>
    </w:p>
    <w:p>
      <w:r>
        <w:pict>
          <v:rect style="width:0;height:1.5pt" o:hralign="center" o:hrstd="t" o:hr="t"/>
        </w:pict>
      </w:r>
    </w:p>
    <w:bookmarkEnd w:id="24"/>
    <w:bookmarkStart w:id="25" w:name="total-email-list-size"/>
    <w:p>
      <w:pPr>
        <w:pStyle w:val="Heading3"/>
      </w:pPr>
      <w:r>
        <w:t xml:space="preserve">4.2 Total Email List Size</w:t>
      </w:r>
    </w:p>
    <w:p>
      <w:pPr>
        <w:pStyle w:val="FirstParagraph"/>
      </w:pPr>
      <w:r>
        <w:t xml:space="preserve">Numeric estimate.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Contextualize scale</w:t>
      </w:r>
      <w:r>
        <w:t xml:space="preserve"> </w:t>
      </w:r>
      <w:r>
        <w:t xml:space="preserve">- Adjust caution language</w:t>
      </w:r>
      <w:r>
        <w:t xml:space="preserve"> </w:t>
      </w:r>
      <w:r>
        <w:t xml:space="preserve">- Frame risk exposure (not math precision)</w:t>
      </w:r>
    </w:p>
    <w:p>
      <w:r>
        <w:pict>
          <v:rect style="width:0;height:1.5pt" o:hralign="center" o:hrstd="t" o:hr="t"/>
        </w:pict>
      </w:r>
    </w:p>
    <w:bookmarkEnd w:id="25"/>
    <w:bookmarkStart w:id="26" w:name="estimated-unengaged-subscriber-count"/>
    <w:p>
      <w:pPr>
        <w:pStyle w:val="Heading3"/>
      </w:pPr>
      <w:r>
        <w:t xml:space="preserve">4.3 Estimated Unengaged Subscriber Count</w:t>
      </w:r>
    </w:p>
    <w:p>
      <w:pPr>
        <w:pStyle w:val="FirstParagraph"/>
      </w:pPr>
      <w:r>
        <w:t xml:space="preserve">Numeric estimate.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Define Bucket C population</w:t>
      </w:r>
      <w:r>
        <w:t xml:space="preserve"> </w:t>
      </w:r>
      <w:r>
        <w:t xml:space="preserve">- Calculate rolling re‑engagement waves</w:t>
      </w:r>
    </w:p>
    <w:p>
      <w:r>
        <w:pict>
          <v:rect style="width:0;height:1.5pt" o:hralign="center" o:hrstd="t" o:hr="t"/>
        </w:pict>
      </w:r>
    </w:p>
    <w:bookmarkEnd w:id="26"/>
    <w:bookmarkStart w:id="27" w:name="engagement-signals-available"/>
    <w:p>
      <w:pPr>
        <w:pStyle w:val="Heading3"/>
      </w:pPr>
      <w:r>
        <w:t xml:space="preserve">4.4 Engagement Signals Available</w:t>
      </w:r>
    </w:p>
    <w:p>
      <w:pPr>
        <w:pStyle w:val="FirstParagraph"/>
      </w:pPr>
      <w:r>
        <w:t xml:space="preserve">Checkboxes:</w:t>
      </w:r>
      <w:r>
        <w:t xml:space="preserve"> </w:t>
      </w:r>
      <w:r>
        <w:t xml:space="preserve">- Opens</w:t>
      </w:r>
      <w:r>
        <w:t xml:space="preserve"> </w:t>
      </w:r>
      <w:r>
        <w:t xml:space="preserve">- Clicks</w:t>
      </w:r>
      <w:r>
        <w:t xml:space="preserve"> </w:t>
      </w:r>
      <w:r>
        <w:t xml:space="preserve">- Replies</w:t>
      </w:r>
      <w:r>
        <w:t xml:space="preserve"> </w:t>
      </w:r>
      <w:r>
        <w:t xml:space="preserve">- Purchases / conversions</w:t>
      </w:r>
    </w:p>
    <w:p>
      <w:pPr>
        <w:pStyle w:val="BodyText"/>
      </w:pPr>
      <w:r>
        <w:t xml:space="preserve">Important rule:</w:t>
      </w:r>
      <w:r>
        <w:t xml:space="preserve"> </w:t>
      </w:r>
      <w:r>
        <w:t xml:space="preserve">- Selection indicates</w:t>
      </w:r>
      <w:r>
        <w:t xml:space="preserve"> </w:t>
      </w:r>
      <w:r>
        <w:rPr>
          <w:b/>
          <w:bCs/>
        </w:rPr>
        <w:t xml:space="preserve">access to data</w:t>
      </w:r>
      <w:r>
        <w:t xml:space="preserve">, not correct usage or reliability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Adjust emphasis and wording</w:t>
      </w:r>
      <w:r>
        <w:t xml:space="preserve"> </w:t>
      </w:r>
      <w:r>
        <w:t xml:space="preserve">- Never used to remove guardrails</w:t>
      </w:r>
    </w:p>
    <w:p>
      <w:r>
        <w:pict>
          <v:rect style="width:0;height:1.5pt" o:hralign="center" o:hrstd="t" o:hr="t"/>
        </w:pict>
      </w:r>
    </w:p>
    <w:bookmarkEnd w:id="27"/>
    <w:bookmarkStart w:id="28" w:name="deliverability-health-selfreported"/>
    <w:p>
      <w:pPr>
        <w:pStyle w:val="Heading3"/>
      </w:pPr>
      <w:r>
        <w:t xml:space="preserve">4.5 Deliverability Health (Self‑Reported)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 Healthy and stable</w:t>
      </w:r>
      <w:r>
        <w:t xml:space="preserve"> </w:t>
      </w:r>
      <w:r>
        <w:t xml:space="preserve">- Mostly fine, some inconsistencies</w:t>
      </w:r>
      <w:r>
        <w:t xml:space="preserve"> </w:t>
      </w:r>
      <w:r>
        <w:t xml:space="preserve">- Recently declined</w:t>
      </w:r>
      <w:r>
        <w:t xml:space="preserve"> </w:t>
      </w:r>
      <w:r>
        <w:t xml:space="preserve">- Unsure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Adjust conservatism</w:t>
      </w:r>
      <w:r>
        <w:t xml:space="preserve"> </w:t>
      </w:r>
      <w:r>
        <w:t xml:space="preserve">- Trigger repair‑first guidance when needed</w:t>
      </w:r>
    </w:p>
    <w:p>
      <w:r>
        <w:pict>
          <v:rect style="width:0;height:1.5pt" o:hralign="center" o:hrstd="t" o:hr="t"/>
        </w:pict>
      </w:r>
    </w:p>
    <w:bookmarkEnd w:id="28"/>
    <w:bookmarkStart w:id="29" w:name="recent-reengagement-attempts"/>
    <w:p>
      <w:pPr>
        <w:pStyle w:val="Heading3"/>
      </w:pPr>
      <w:r>
        <w:t xml:space="preserve">4.6 Recent Re‑Engagement Attempts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 Yes, within the last 30 days</w:t>
      </w:r>
      <w:r>
        <w:t xml:space="preserve"> </w:t>
      </w:r>
      <w:r>
        <w:t xml:space="preserve">- Yes, within the last 90 days</w:t>
      </w:r>
      <w:r>
        <w:t xml:space="preserve"> </w:t>
      </w:r>
      <w:r>
        <w:t xml:space="preserve">- Yes, longer ago</w:t>
      </w:r>
      <w:r>
        <w:t xml:space="preserve"> </w:t>
      </w:r>
      <w:r>
        <w:t xml:space="preserve">- No</w:t>
      </w:r>
    </w:p>
    <w:p>
      <w:pPr>
        <w:pStyle w:val="BodyText"/>
      </w:pPr>
      <w:r>
        <w:t xml:space="preserve">Used to:</w:t>
      </w:r>
      <w:r>
        <w:t xml:space="preserve"> </w:t>
      </w:r>
      <w:r>
        <w:t xml:space="preserve">- Prevent compounding damage</w:t>
      </w:r>
      <w:r>
        <w:t xml:space="preserve"> </w:t>
      </w:r>
      <w:r>
        <w:t xml:space="preserve">- Adjust pacing and messaging tone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ceptual-model-right-side"/>
    <w:p>
      <w:pPr>
        <w:pStyle w:val="Heading2"/>
      </w:pPr>
      <w:r>
        <w:t xml:space="preserve">5. Conceptual Model (Right Side)</w:t>
      </w:r>
    </w:p>
    <w:bookmarkStart w:id="31" w:name="bucket-definitions"/>
    <w:p>
      <w:pPr>
        <w:pStyle w:val="Heading3"/>
      </w:pPr>
      <w:r>
        <w:t xml:space="preserve">5.1 Bucket Definitions</w:t>
      </w:r>
    </w:p>
    <w:p>
      <w:pPr>
        <w:pStyle w:val="FirstParagraph"/>
      </w:pPr>
      <w:r>
        <w:t xml:space="preserve">The tool introduces three conceptual buckets: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Bucket A: Confirmed Engaged</w:t>
      </w:r>
      <w:r>
        <w:br/>
      </w:r>
      <w:r>
        <w:t xml:space="preserve">Subscribers showing clear human intent (clicks, replies, purchases).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Bucket B: Phantom Engaged</w:t>
      </w:r>
      <w:r>
        <w:br/>
      </w:r>
      <w:r>
        <w:t xml:space="preserve">Subscribers who appear active due to opens but may or may not be paying attention.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Bucket C: Unengaged</w:t>
      </w:r>
      <w:r>
        <w:br/>
      </w:r>
      <w:r>
        <w:t xml:space="preserve">Subscribers showing no reliable human signals.</w:t>
      </w:r>
    </w:p>
    <w:p>
      <w:pPr>
        <w:pStyle w:val="FirstParagraph"/>
      </w:pPr>
      <w:r>
        <w:t xml:space="preserve">Important note:</w:t>
      </w:r>
      <w:r>
        <w:t xml:space="preserve"> </w:t>
      </w:r>
      <w:r>
        <w:t xml:space="preserve">- Buckets are not cleanly separable in modern environments.</w:t>
      </w:r>
    </w:p>
    <w:p>
      <w:r>
        <w:pict>
          <v:rect style="width:0;height:1.5pt" o:hralign="center" o:hrstd="t" o:hr="t"/>
        </w:pict>
      </w:r>
    </w:p>
    <w:bookmarkEnd w:id="31"/>
    <w:bookmarkStart w:id="32" w:name="visual-explanation"/>
    <w:p>
      <w:pPr>
        <w:pStyle w:val="Heading3"/>
      </w:pPr>
      <w:r>
        <w:t xml:space="preserve">5.2 Visual Explanation</w:t>
      </w:r>
    </w:p>
    <w:p>
      <w:pPr>
        <w:pStyle w:val="FirstParagraph"/>
      </w:pPr>
      <w:r>
        <w:t xml:space="preserve">A Venn diagram is shown at bucket introduction to illustrate:</w:t>
      </w:r>
      <w:r>
        <w:t xml:space="preserve"> </w:t>
      </w:r>
      <w:r>
        <w:t xml:space="preserve">- Historical clean separation</w:t>
      </w:r>
      <w:r>
        <w:t xml:space="preserve"> </w:t>
      </w:r>
      <w:r>
        <w:t xml:space="preserve">- Modern overlap driven by privacy behavior</w:t>
      </w:r>
      <w:r>
        <w:t xml:space="preserve"> </w:t>
      </w:r>
      <w:r>
        <w:t xml:space="preserve">- The existence and risk of Phantom Engagement</w:t>
      </w:r>
    </w:p>
    <w:p>
      <w:pPr>
        <w:pStyle w:val="BodyText"/>
      </w:pPr>
      <w:r>
        <w:t xml:space="preserve">The overlap is intentionally emphasized.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lassification-rules"/>
    <w:p>
      <w:pPr>
        <w:pStyle w:val="Heading2"/>
      </w:pPr>
      <w:r>
        <w:t xml:space="preserve">6. Classification Rules</w:t>
      </w:r>
    </w:p>
    <w:bookmarkStart w:id="34" w:name="bucket-b-classification-phantom-engaged"/>
    <w:p>
      <w:pPr>
        <w:pStyle w:val="Heading3"/>
      </w:pPr>
      <w:r>
        <w:t xml:space="preserve">6.1 Bucket B Classification (Phantom Engaged)</w:t>
      </w:r>
    </w:p>
    <w:p>
      <w:pPr>
        <w:pStyle w:val="FirstParagraph"/>
      </w:pPr>
      <w:r>
        <w:t xml:space="preserve">Subscribers are classified as Bucket B based on</w:t>
      </w:r>
      <w:r>
        <w:t xml:space="preserve"> </w:t>
      </w:r>
      <w:r>
        <w:rPr>
          <w:b/>
          <w:bCs/>
        </w:rPr>
        <w:t xml:space="preserve">opens without other human intent</w:t>
      </w:r>
      <w:r>
        <w:t xml:space="preserve">, adjusted by sending frequency:</w:t>
      </w:r>
    </w:p>
    <w:p>
      <w:pPr>
        <w:pStyle w:val="Compact"/>
        <w:numPr>
          <w:ilvl w:val="0"/>
          <w:numId w:val="1004"/>
        </w:numPr>
      </w:pPr>
      <w:r>
        <w:t xml:space="preserve">Daily sending: classify after</w:t>
      </w:r>
      <w:r>
        <w:t xml:space="preserve"> </w:t>
      </w:r>
      <w:r>
        <w:rPr>
          <w:b/>
          <w:bCs/>
        </w:rPr>
        <w:t xml:space="preserve">45 days</w:t>
      </w:r>
    </w:p>
    <w:p>
      <w:pPr>
        <w:pStyle w:val="Compact"/>
        <w:numPr>
          <w:ilvl w:val="0"/>
          <w:numId w:val="1004"/>
        </w:numPr>
      </w:pPr>
      <w:r>
        <w:t xml:space="preserve">Weekly sending: classify after</w:t>
      </w:r>
      <w:r>
        <w:t xml:space="preserve"> </w:t>
      </w:r>
      <w:r>
        <w:rPr>
          <w:b/>
          <w:bCs/>
        </w:rPr>
        <w:t xml:space="preserve">60 days</w:t>
      </w:r>
    </w:p>
    <w:p>
      <w:pPr>
        <w:pStyle w:val="Compact"/>
        <w:numPr>
          <w:ilvl w:val="0"/>
          <w:numId w:val="1004"/>
        </w:numPr>
      </w:pPr>
      <w:r>
        <w:t xml:space="preserve">Monthly or sporadic sending: classify after</w:t>
      </w:r>
      <w:r>
        <w:t xml:space="preserve"> </w:t>
      </w:r>
      <w:r>
        <w:rPr>
          <w:b/>
          <w:bCs/>
        </w:rPr>
        <w:t xml:space="preserve">90 days</w:t>
      </w:r>
    </w:p>
    <w:p>
      <w:pPr>
        <w:pStyle w:val="FirstParagraph"/>
      </w:pPr>
      <w:r>
        <w:t xml:space="preserve">Rule:</w:t>
      </w:r>
      <w:r>
        <w:t xml:space="preserve"> </w:t>
      </w:r>
      <w:r>
        <w:t xml:space="preserve">- The more often you send, the sooner silence becomes meaningful.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engagement-framework-bucket-c"/>
    <w:p>
      <w:pPr>
        <w:pStyle w:val="Heading2"/>
      </w:pPr>
      <w:r>
        <w:t xml:space="preserve">7. Re‑Engagement Framework (Bucket C)</w:t>
      </w:r>
    </w:p>
    <w:bookmarkStart w:id="36" w:name="rolling-exposure-rule-locked"/>
    <w:p>
      <w:pPr>
        <w:pStyle w:val="Heading3"/>
      </w:pPr>
      <w:r>
        <w:t xml:space="preserve">7.1 Rolling Exposure Rule (Locked)</w:t>
      </w:r>
    </w:p>
    <w:p>
      <w:pPr>
        <w:pStyle w:val="FirstParagraph"/>
      </w:pPr>
      <w:r>
        <w:t xml:space="preserve">Re‑engagement is handled in</w:t>
      </w:r>
      <w:r>
        <w:t xml:space="preserve"> </w:t>
      </w:r>
      <w:r>
        <w:rPr>
          <w:b/>
          <w:bCs/>
        </w:rPr>
        <w:t xml:space="preserve">controlled waves</w:t>
      </w:r>
      <w:r>
        <w:t xml:space="preserve">.</w:t>
      </w:r>
    </w:p>
    <w:p>
      <w:pPr>
        <w:pStyle w:val="BodyText"/>
      </w:pPr>
      <w:r>
        <w:t xml:space="preserve">At any given time:</w:t>
      </w:r>
      <w:r>
        <w:t xml:space="preserve"> </w:t>
      </w:r>
      <w:r>
        <w:t xml:space="preserve">- No more than</w:t>
      </w:r>
      <w:r>
        <w:t xml:space="preserve"> </w:t>
      </w:r>
      <w:r>
        <w:rPr>
          <w:b/>
          <w:bCs/>
        </w:rPr>
        <w:t xml:space="preserve">5% of the estimated unengaged segment</w:t>
      </w:r>
      <w:r>
        <w:t xml:space="preserve"> </w:t>
      </w:r>
      <w:r>
        <w:t xml:space="preserve">may be in re‑engagement</w:t>
      </w:r>
      <w:r>
        <w:t xml:space="preserve"> </w:t>
      </w:r>
      <w:r>
        <w:t xml:space="preserve">- This is a</w:t>
      </w:r>
      <w:r>
        <w:t xml:space="preserve"> </w:t>
      </w:r>
      <w:r>
        <w:rPr>
          <w:b/>
          <w:bCs/>
        </w:rPr>
        <w:t xml:space="preserve">concurrent exposure cap</w:t>
      </w:r>
      <w:r>
        <w:t xml:space="preserve">, not a per‑campaign allowance</w:t>
      </w:r>
    </w:p>
    <w:p>
      <w:pPr>
        <w:pStyle w:val="BodyText"/>
      </w:pPr>
      <w:r>
        <w:t xml:space="preserve">This assumes:</w:t>
      </w:r>
      <w:r>
        <w:t xml:space="preserve"> </w:t>
      </w:r>
      <w:r>
        <w:t xml:space="preserve">- The user’s current sending pattern is being accepted by mailbox providers</w:t>
      </w:r>
      <w:r>
        <w:t xml:space="preserve"> </w:t>
      </w:r>
      <w:r>
        <w:t xml:space="preserve">- Opens do not provide protection</w:t>
      </w:r>
    </w:p>
    <w:p>
      <w:r>
        <w:pict>
          <v:rect style="width:0;height:1.5pt" o:hralign="center" o:hrstd="t" o:hr="t"/>
        </w:pict>
      </w:r>
    </w:p>
    <w:bookmarkEnd w:id="36"/>
    <w:bookmarkStart w:id="37" w:name="execution-rules"/>
    <w:p>
      <w:pPr>
        <w:pStyle w:val="Heading3"/>
      </w:pPr>
      <w:r>
        <w:t xml:space="preserve">7.2 Execution Rules</w:t>
      </w:r>
    </w:p>
    <w:p>
      <w:pPr>
        <w:pStyle w:val="Compact"/>
        <w:numPr>
          <w:ilvl w:val="0"/>
          <w:numId w:val="1005"/>
        </w:numPr>
      </w:pPr>
      <w:r>
        <w:t xml:space="preserve">Always start with the</w:t>
      </w:r>
      <w:r>
        <w:t xml:space="preserve"> </w:t>
      </w:r>
      <w:r>
        <w:rPr>
          <w:b/>
          <w:bCs/>
        </w:rPr>
        <w:t xml:space="preserve">warmest portion</w:t>
      </w:r>
      <w:r>
        <w:t xml:space="preserve"> </w:t>
      </w:r>
      <w:r>
        <w:t xml:space="preserve">of Bucket C</w:t>
      </w:r>
    </w:p>
    <w:p>
      <w:pPr>
        <w:pStyle w:val="Compact"/>
        <w:numPr>
          <w:ilvl w:val="0"/>
          <w:numId w:val="1005"/>
        </w:numPr>
      </w:pPr>
      <w:r>
        <w:t xml:space="preserve">Re‑engagement emails are sent</w:t>
      </w:r>
      <w:r>
        <w:t xml:space="preserve"> </w:t>
      </w:r>
      <w:r>
        <w:rPr>
          <w:b/>
          <w:bCs/>
        </w:rPr>
        <w:t xml:space="preserve">alongside normal campaigns</w:t>
      </w:r>
    </w:p>
    <w:p>
      <w:pPr>
        <w:pStyle w:val="Compact"/>
        <w:numPr>
          <w:ilvl w:val="0"/>
          <w:numId w:val="1005"/>
        </w:numPr>
      </w:pPr>
      <w:r>
        <w:t xml:space="preserve">Each subscriber receives</w:t>
      </w:r>
      <w:r>
        <w:t xml:space="preserve"> </w:t>
      </w:r>
      <w:r>
        <w:rPr>
          <w:b/>
          <w:bCs/>
        </w:rPr>
        <w:t xml:space="preserve">exactly two re‑engagement emails</w:t>
      </w:r>
    </w:p>
    <w:p>
      <w:r>
        <w:pict>
          <v:rect style="width:0;height:1.5pt" o:hralign="center" o:hrstd="t" o:hr="t"/>
        </w:pict>
      </w:r>
    </w:p>
    <w:bookmarkEnd w:id="37"/>
    <w:bookmarkStart w:id="38" w:name="exit-rules-nonnegotiable"/>
    <w:p>
      <w:pPr>
        <w:pStyle w:val="Heading3"/>
      </w:pPr>
      <w:r>
        <w:t xml:space="preserve">7.3 Exit Rules (Non‑Negotiable)</w:t>
      </w:r>
    </w:p>
    <w:p>
      <w:pPr>
        <w:pStyle w:val="FirstParagraph"/>
      </w:pPr>
      <w:r>
        <w:t xml:space="preserve">After two re‑engagement attempts:</w:t>
      </w:r>
    </w:p>
    <w:p>
      <w:pPr>
        <w:pStyle w:val="Compact"/>
        <w:numPr>
          <w:ilvl w:val="0"/>
          <w:numId w:val="1006"/>
        </w:numPr>
      </w:pPr>
      <w:r>
        <w:t xml:space="preserve">Subscribers showing human intent exit re‑engagement</w:t>
      </w:r>
    </w:p>
    <w:p>
      <w:pPr>
        <w:pStyle w:val="Compact"/>
        <w:numPr>
          <w:ilvl w:val="0"/>
          <w:numId w:val="1006"/>
        </w:numPr>
      </w:pPr>
      <w:r>
        <w:t xml:space="preserve">Subscribers showing no intent are</w:t>
      </w:r>
      <w:r>
        <w:t xml:space="preserve"> </w:t>
      </w:r>
      <w:r>
        <w:rPr>
          <w:b/>
          <w:bCs/>
        </w:rPr>
        <w:t xml:space="preserve">suppressed permanently</w:t>
      </w:r>
    </w:p>
    <w:p>
      <w:pPr>
        <w:pStyle w:val="FirstParagraph"/>
      </w:pPr>
      <w:r>
        <w:t xml:space="preserve">They must not be re‑engaged again.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pairfirst-logic"/>
    <w:p>
      <w:pPr>
        <w:pStyle w:val="Heading2"/>
      </w:pPr>
      <w:r>
        <w:t xml:space="preserve">8. Repair‑First Logic</w:t>
      </w:r>
    </w:p>
    <w:p>
      <w:pPr>
        <w:pStyle w:val="FirstParagraph"/>
      </w:pPr>
      <w:r>
        <w:t xml:space="preserve">If the user reports:</w:t>
      </w:r>
      <w:r>
        <w:t xml:space="preserve"> </w:t>
      </w:r>
      <w:r>
        <w:t xml:space="preserve">- Recent aggressive re‑engagement</w:t>
      </w:r>
      <w:r>
        <w:t xml:space="preserve"> </w:t>
      </w:r>
      <w:r>
        <w:t xml:space="preserve">- Declining deliverability</w:t>
      </w:r>
    </w:p>
    <w:p>
      <w:pPr>
        <w:pStyle w:val="BodyText"/>
      </w:pPr>
      <w:r>
        <w:t xml:space="preserve">The tool prioritizes:</w:t>
      </w:r>
      <w:r>
        <w:t xml:space="preserve"> </w:t>
      </w:r>
      <w:r>
        <w:t xml:space="preserve">- Pausing</w:t>
      </w:r>
      <w:r>
        <w:t xml:space="preserve"> </w:t>
      </w:r>
      <w:r>
        <w:t xml:space="preserve">- Reducing exposure</w:t>
      </w:r>
      <w:r>
        <w:t xml:space="preserve"> </w:t>
      </w:r>
      <w:r>
        <w:t xml:space="preserve">- Stabilizing reputation before any re‑engagement</w:t>
      </w:r>
    </w:p>
    <w:p>
      <w:pPr>
        <w:pStyle w:val="BodyText"/>
      </w:pPr>
      <w:r>
        <w:t xml:space="preserve">Repair overrides optimism.</w:t>
      </w:r>
    </w:p>
    <w:p>
      <w:r>
        <w:pict>
          <v:rect style="width:0;height:1.5pt" o:hralign="center" o:hrstd="t" o:hr="t"/>
        </w:pict>
      </w:r>
    </w:p>
    <w:bookmarkEnd w:id="40"/>
    <w:bookmarkStart w:id="41" w:name="tone-positioning-rules"/>
    <w:p>
      <w:pPr>
        <w:pStyle w:val="Heading2"/>
      </w:pPr>
      <w:r>
        <w:t xml:space="preserve">9. Tone &amp; Positioning Rules</w:t>
      </w:r>
    </w:p>
    <w:p>
      <w:pPr>
        <w:pStyle w:val="Compact"/>
        <w:numPr>
          <w:ilvl w:val="0"/>
          <w:numId w:val="1007"/>
        </w:numPr>
      </w:pPr>
      <w:r>
        <w:t xml:space="preserve">No AI‑generated tone</w:t>
      </w:r>
    </w:p>
    <w:p>
      <w:pPr>
        <w:pStyle w:val="Compact"/>
        <w:numPr>
          <w:ilvl w:val="0"/>
          <w:numId w:val="1007"/>
        </w:numPr>
      </w:pPr>
      <w:r>
        <w:t xml:space="preserve">No hype or urgency language</w:t>
      </w:r>
    </w:p>
    <w:p>
      <w:pPr>
        <w:pStyle w:val="Compact"/>
        <w:numPr>
          <w:ilvl w:val="0"/>
          <w:numId w:val="1007"/>
        </w:numPr>
      </w:pPr>
      <w:r>
        <w:t xml:space="preserve">Conservative, judgment‑driven phrasing</w:t>
      </w:r>
    </w:p>
    <w:p>
      <w:pPr>
        <w:pStyle w:val="Compact"/>
        <w:numPr>
          <w:ilvl w:val="0"/>
          <w:numId w:val="1007"/>
        </w:numPr>
      </w:pPr>
      <w:r>
        <w:t xml:space="preserve">Confidence without promises</w:t>
      </w:r>
    </w:p>
    <w:p>
      <w:pPr>
        <w:pStyle w:val="FirstParagraph"/>
      </w:pPr>
      <w:r>
        <w:t xml:space="preserve">The framework is explicitly positioned as</w:t>
      </w:r>
      <w:r>
        <w:t xml:space="preserve"> </w:t>
      </w:r>
      <w:r>
        <w:rPr>
          <w:b/>
          <w:bCs/>
        </w:rPr>
        <w:t xml:space="preserve">human‑generated</w:t>
      </w:r>
      <w:r>
        <w:t xml:space="preserve"> </w:t>
      </w:r>
      <w:r>
        <w:t xml:space="preserve">and experience‑driven.</w:t>
      </w:r>
    </w:p>
    <w:p>
      <w:r>
        <w:pict>
          <v:rect style="width:0;height:1.5pt" o:hralign="center" o:hrstd="t" o:hr="t"/>
        </w:pict>
      </w:r>
    </w:p>
    <w:bookmarkEnd w:id="41"/>
    <w:bookmarkStart w:id="42" w:name="explicit-nongoals"/>
    <w:p>
      <w:pPr>
        <w:pStyle w:val="Heading2"/>
      </w:pPr>
      <w:r>
        <w:t xml:space="preserve">10. Explicit Non‑Goals</w:t>
      </w:r>
    </w:p>
    <w:p>
      <w:pPr>
        <w:pStyle w:val="FirstParagraph"/>
      </w:pPr>
      <w:r>
        <w:t xml:space="preserve">This tool does not:</w:t>
      </w:r>
      <w:r>
        <w:t xml:space="preserve"> </w:t>
      </w:r>
      <w:r>
        <w:t xml:space="preserve">- Predict deliverability outcomes</w:t>
      </w:r>
      <w:r>
        <w:t xml:space="preserve"> </w:t>
      </w:r>
      <w:r>
        <w:t xml:space="preserve">- Optimize copy</w:t>
      </w:r>
      <w:r>
        <w:t xml:space="preserve"> </w:t>
      </w:r>
      <w:r>
        <w:t xml:space="preserve">- Replace ESP configuration</w:t>
      </w:r>
      <w:r>
        <w:t xml:space="preserve"> </w:t>
      </w:r>
      <w:r>
        <w:t xml:space="preserve">- Infer engagement accuracy</w:t>
      </w:r>
      <w:r>
        <w:t xml:space="preserve"> </w:t>
      </w:r>
      <w:r>
        <w:t xml:space="preserve">- Automate decisions without human oversight</w:t>
      </w:r>
    </w:p>
    <w:p>
      <w:r>
        <w:pict>
          <v:rect style="width:0;height:1.5pt" o:hralign="center" o:hrstd="t" o:hr="t"/>
        </w:pict>
      </w:r>
    </w:p>
    <w:bookmarkEnd w:id="42"/>
    <w:bookmarkStart w:id="43" w:name="success-criteria"/>
    <w:p>
      <w:pPr>
        <w:pStyle w:val="Heading2"/>
      </w:pPr>
      <w:r>
        <w:t xml:space="preserve">11. Success Criteria</w:t>
      </w:r>
    </w:p>
    <w:p>
      <w:pPr>
        <w:pStyle w:val="FirstParagraph"/>
      </w:pPr>
      <w:r>
        <w:t xml:space="preserve">The tool is successful if users:</w:t>
      </w:r>
      <w:r>
        <w:t xml:space="preserve"> </w:t>
      </w:r>
      <w:r>
        <w:t xml:space="preserve">- Stop unsafe re‑engagement loops</w:t>
      </w:r>
      <w:r>
        <w:t xml:space="preserve"> </w:t>
      </w:r>
      <w:r>
        <w:t xml:space="preserve">- Reduce accidental damage to silent readers</w:t>
      </w:r>
      <w:r>
        <w:t xml:space="preserve"> </w:t>
      </w:r>
      <w:r>
        <w:t xml:space="preserve">- Execute re‑engagement in finite, controlled phases</w:t>
      </w:r>
      <w:r>
        <w:t xml:space="preserve"> </w:t>
      </w:r>
      <w:r>
        <w:t xml:space="preserve">-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are being conservative</w:t>
      </w:r>
    </w:p>
    <w:p>
      <w:r>
        <w:pict>
          <v:rect style="width:0;height:1.5pt" o:hralign="center" o:hrstd="t" o:hr="t"/>
        </w:pict>
      </w:r>
    </w:p>
    <w:bookmarkEnd w:id="43"/>
    <w:bookmarkStart w:id="44" w:name="future-extensions-out-of-scope-for-v1"/>
    <w:p>
      <w:pPr>
        <w:pStyle w:val="Heading2"/>
      </w:pPr>
      <w:r>
        <w:t xml:space="preserve">12. Future Extensions (Out of Scope for v1)</w:t>
      </w:r>
    </w:p>
    <w:p>
      <w:pPr>
        <w:pStyle w:val="Compact"/>
        <w:numPr>
          <w:ilvl w:val="0"/>
          <w:numId w:val="1008"/>
        </w:numPr>
      </w:pPr>
      <w:r>
        <w:t xml:space="preserve">Visual scenario comparisons</w:t>
      </w:r>
    </w:p>
    <w:p>
      <w:pPr>
        <w:pStyle w:val="Compact"/>
        <w:numPr>
          <w:ilvl w:val="0"/>
          <w:numId w:val="1008"/>
        </w:numPr>
      </w:pPr>
      <w:r>
        <w:t xml:space="preserve">Advanced signal weighting</w:t>
      </w:r>
    </w:p>
    <w:p>
      <w:pPr>
        <w:pStyle w:val="Compact"/>
        <w:numPr>
          <w:ilvl w:val="0"/>
          <w:numId w:val="1008"/>
        </w:numPr>
      </w:pPr>
      <w:r>
        <w:t xml:space="preserve">Automated pacing enforcement</w:t>
      </w:r>
    </w:p>
    <w:p>
      <w:pPr>
        <w:pStyle w:val="Compact"/>
        <w:numPr>
          <w:ilvl w:val="0"/>
          <w:numId w:val="1008"/>
        </w:numPr>
      </w:pPr>
      <w:r>
        <w:t xml:space="preserve">Multi‑persona re‑engagement tracks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PRD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2026-02-07T21:56:39Z</dcterms:created>
  <dcterms:modified xsi:type="dcterms:W3CDTF">2026-02-07T21:56:39Z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